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1007D" w14:textId="23482636" w:rsidR="00D4424A" w:rsidRPr="00A94CD9" w:rsidRDefault="00D4424A">
      <w:pPr>
        <w:spacing w:after="0"/>
        <w:ind w:left="562" w:right="0"/>
        <w:rPr>
          <w:b/>
          <w:color w:val="auto"/>
          <w:sz w:val="24"/>
        </w:rPr>
      </w:pPr>
      <w:r w:rsidRPr="00A94CD9">
        <w:rPr>
          <w:b/>
          <w:color w:val="auto"/>
          <w:sz w:val="24"/>
        </w:rPr>
        <w:t>Zapytania i odpowiedzi do zapytania ofertowego pn.</w:t>
      </w:r>
      <w:bookmarkStart w:id="0" w:name="_Hlk110938958"/>
      <w:bookmarkStart w:id="1" w:name="_Hlk110938347"/>
      <w:bookmarkStart w:id="2" w:name="_Hlk188511382"/>
      <w:r w:rsidRPr="00A94CD9">
        <w:rPr>
          <w:b/>
          <w:color w:val="auto"/>
          <w:sz w:val="24"/>
        </w:rPr>
        <w:t xml:space="preserve"> „</w:t>
      </w:r>
      <w:bookmarkEnd w:id="0"/>
      <w:bookmarkEnd w:id="1"/>
      <w:bookmarkEnd w:id="2"/>
      <w:r w:rsidRPr="00A94CD9">
        <w:rPr>
          <w:b/>
          <w:color w:val="auto"/>
          <w:sz w:val="24"/>
        </w:rPr>
        <w:t>Opracowanie dokumentacji projektowej budowy hal magazynowych w Tarnowskich Górach, przy ul. Pyskowickiej 54”</w:t>
      </w:r>
    </w:p>
    <w:p w14:paraId="14F33E3B" w14:textId="77777777" w:rsidR="00D4424A" w:rsidRPr="00A94CD9" w:rsidRDefault="00D4424A">
      <w:pPr>
        <w:spacing w:after="0"/>
        <w:ind w:left="562" w:right="0"/>
        <w:rPr>
          <w:b/>
          <w:color w:val="auto"/>
          <w:sz w:val="28"/>
        </w:rPr>
      </w:pPr>
    </w:p>
    <w:p w14:paraId="19E45CE2" w14:textId="0DBC897D" w:rsidR="002B3C07" w:rsidRPr="00A94CD9" w:rsidRDefault="00000000">
      <w:pPr>
        <w:spacing w:after="0"/>
        <w:ind w:left="562" w:right="0"/>
        <w:rPr>
          <w:color w:val="auto"/>
        </w:rPr>
      </w:pPr>
      <w:r w:rsidRPr="00A94CD9">
        <w:rPr>
          <w:b/>
          <w:color w:val="auto"/>
        </w:rPr>
        <w:t xml:space="preserve">Pytanie 1. </w:t>
      </w:r>
      <w:r w:rsidRPr="00A94CD9">
        <w:rPr>
          <w:color w:val="auto"/>
        </w:rPr>
        <w:t xml:space="preserve">Wnoszę o zmianę treści pkt 7 UWAG do Załącznika nr 4 oraz odpowiednią modyfikację § 2 ust. 4 projektu umowy, w taki sposób, aby okresy oczekiwania na czynności wymienione w pkt 7 lit. </w:t>
      </w:r>
    </w:p>
    <w:p w14:paraId="68CBFD47" w14:textId="77777777" w:rsidR="002B3C07" w:rsidRPr="00A94CD9" w:rsidRDefault="00000000">
      <w:pPr>
        <w:ind w:left="567" w:right="0" w:firstLine="0"/>
        <w:rPr>
          <w:color w:val="auto"/>
        </w:rPr>
      </w:pPr>
      <w:r w:rsidRPr="00A94CD9">
        <w:rPr>
          <w:color w:val="auto"/>
        </w:rPr>
        <w:t xml:space="preserve">a)–d) zostały wyłączone z biegu 12-tygodniowego terminu realizacji – analogicznie do obecnej konstrukcji § 2 ust. 4 umowy odnoszącej się do oczekiwania na decyzje administracyjne. Wyłączenie powinno obowiązywać od dnia udokumentowanego złożenia odpowiedniego wniosku / zlecenia (do gestora sieci, rzeczoznawcy, uprawnionego geodety, laboratorium geotechnicznego), o ile zwłoka tych podmiotów nie wynika z winy Wykonawcy. </w:t>
      </w:r>
    </w:p>
    <w:p w14:paraId="74C068F4" w14:textId="77777777" w:rsidR="002B3C07" w:rsidRPr="00A94CD9" w:rsidRDefault="00000000">
      <w:pPr>
        <w:spacing w:after="158" w:line="293" w:lineRule="auto"/>
        <w:ind w:left="562" w:right="-3" w:hanging="10"/>
        <w:rPr>
          <w:color w:val="auto"/>
        </w:rPr>
      </w:pPr>
      <w:r w:rsidRPr="00A94CD9">
        <w:rPr>
          <w:b/>
          <w:i/>
          <w:color w:val="auto"/>
          <w:sz w:val="20"/>
        </w:rPr>
        <w:t xml:space="preserve">Uzasadnienie: </w:t>
      </w:r>
      <w:r w:rsidRPr="00A94CD9">
        <w:rPr>
          <w:i/>
          <w:color w:val="auto"/>
          <w:sz w:val="20"/>
        </w:rPr>
        <w:t xml:space="preserve">Czasy procedur zewnętrznych nie są zależne od Wykonawcy. Warunki techniczne przyłączenia wydawane są przez gestorów sieci w terminach do 30 dni od złożenia kompletnego wniosku (art. 7 ust. 8g Prawa energetycznego oraz analogiczne terminy w przepisach o zbiorowym zaopatrzeniu w wodę i ciepło), w praktyce – ze względu na uzupełnienia i brak gotowości technicznej sieci – przekraczających 4–6 tygodni. Uzgodnienia rzeczoznawców ppoż. i sanitarno-higienicznych dla obiektu z magazynem energii, instalacją PV, oddzieleniem ppoż. i potencjalną kwalifikacją do kategorii PM realnie wymagają 2–4 tygodni każde. Aktualizacja mapy do celów projektowych obejmuje pomiary geodezyjne i przyjęcie operatu do </w:t>
      </w:r>
      <w:proofErr w:type="spellStart"/>
      <w:r w:rsidRPr="00A94CD9">
        <w:rPr>
          <w:i/>
          <w:color w:val="auto"/>
          <w:sz w:val="20"/>
        </w:rPr>
        <w:t>PZGiK</w:t>
      </w:r>
      <w:proofErr w:type="spellEnd"/>
      <w:r w:rsidRPr="00A94CD9">
        <w:rPr>
          <w:i/>
          <w:color w:val="auto"/>
          <w:sz w:val="20"/>
        </w:rPr>
        <w:t xml:space="preserve"> – łącznie 3–5 tygodni. Badania geologiczno-inżynierskie z opracowaniem opinii to dalsze 3–4 tygodnie. Ścieżka krytyczna wynosi nie mniej niż 6 tygodni, co przy 12-tygodniowym terminie całkowitym pozostawia ok. 6 tygodni na wszystkie pozostałe czynności projektowe – wartość niewystarczającą dla rzetelnego wykonania zamówienia.</w:t>
      </w:r>
      <w:r w:rsidRPr="00A94CD9">
        <w:rPr>
          <w:color w:val="auto"/>
        </w:rPr>
        <w:t xml:space="preserve"> </w:t>
      </w:r>
    </w:p>
    <w:p w14:paraId="64A838C6" w14:textId="31137B0B" w:rsidR="002B5152" w:rsidRPr="00A94CD9" w:rsidRDefault="002B5152" w:rsidP="00A94CD9">
      <w:pPr>
        <w:spacing w:after="92" w:line="293" w:lineRule="auto"/>
        <w:ind w:left="562" w:right="-3" w:hanging="10"/>
        <w:rPr>
          <w:b/>
          <w:bCs/>
          <w:color w:val="auto"/>
        </w:rPr>
      </w:pPr>
      <w:r w:rsidRPr="00A94CD9">
        <w:rPr>
          <w:b/>
          <w:bCs/>
          <w:color w:val="auto"/>
        </w:rPr>
        <w:t>Odp. Brak zgody.</w:t>
      </w:r>
    </w:p>
    <w:p w14:paraId="14874284" w14:textId="77777777" w:rsidR="002B3C07" w:rsidRPr="00A94CD9" w:rsidRDefault="00000000">
      <w:pPr>
        <w:ind w:left="562" w:right="0"/>
        <w:rPr>
          <w:color w:val="auto"/>
        </w:rPr>
      </w:pPr>
      <w:r w:rsidRPr="00A94CD9">
        <w:rPr>
          <w:b/>
          <w:color w:val="auto"/>
        </w:rPr>
        <w:t xml:space="preserve">Pytanie 2. </w:t>
      </w:r>
      <w:r w:rsidRPr="00A94CD9">
        <w:rPr>
          <w:color w:val="auto"/>
        </w:rPr>
        <w:t xml:space="preserve">W razie odmowy uwzględnienia Pytania 1, wnoszę o wydłużenie terminu realizacji przedmiotu zamówienia z 12 do 18 tygodni kalendarzowych od daty zawarcia umowy. </w:t>
      </w:r>
    </w:p>
    <w:p w14:paraId="6421B807" w14:textId="7C9DC127" w:rsidR="002B5152" w:rsidRPr="00A94CD9" w:rsidRDefault="00000000" w:rsidP="002B5152">
      <w:pPr>
        <w:spacing w:after="158" w:line="293" w:lineRule="auto"/>
        <w:ind w:left="562" w:right="-3" w:hanging="10"/>
        <w:rPr>
          <w:i/>
          <w:color w:val="auto"/>
          <w:sz w:val="20"/>
        </w:rPr>
      </w:pPr>
      <w:r w:rsidRPr="00A94CD9">
        <w:rPr>
          <w:b/>
          <w:i/>
          <w:color w:val="auto"/>
          <w:sz w:val="20"/>
        </w:rPr>
        <w:t xml:space="preserve">Uzasadnienie: </w:t>
      </w:r>
      <w:r w:rsidRPr="00A94CD9">
        <w:rPr>
          <w:i/>
          <w:color w:val="auto"/>
          <w:sz w:val="20"/>
        </w:rPr>
        <w:t>18 tygodni stanowi realny minimalny okres wykonania przedmiotowego zakresu dokumentacji przy obciążeniu Wykonawcy ryzykiem zwłoki podmiotów trzecich, z uwzględnieniem rozszerzenia zakresu o instalację PV z magazynem energii i stację ładowania.</w:t>
      </w:r>
    </w:p>
    <w:p w14:paraId="726A8E6F" w14:textId="63E1721C" w:rsidR="002B5152" w:rsidRPr="00A94CD9" w:rsidRDefault="002B5152" w:rsidP="002B5152">
      <w:pPr>
        <w:spacing w:after="158" w:line="293" w:lineRule="auto"/>
        <w:ind w:left="562" w:right="-3" w:hanging="10"/>
        <w:rPr>
          <w:b/>
          <w:bCs/>
          <w:color w:val="auto"/>
        </w:rPr>
      </w:pPr>
      <w:r w:rsidRPr="00A94CD9">
        <w:rPr>
          <w:b/>
          <w:bCs/>
          <w:color w:val="auto"/>
        </w:rPr>
        <w:t>Odp. Brak zgody</w:t>
      </w:r>
    </w:p>
    <w:p w14:paraId="03E462ED" w14:textId="77777777" w:rsidR="002B3C07" w:rsidRPr="00A94CD9" w:rsidRDefault="00000000">
      <w:pPr>
        <w:ind w:left="562" w:right="0"/>
        <w:rPr>
          <w:color w:val="auto"/>
        </w:rPr>
      </w:pPr>
      <w:r w:rsidRPr="00A94CD9">
        <w:rPr>
          <w:b/>
          <w:color w:val="auto"/>
        </w:rPr>
        <w:t xml:space="preserve">Pytanie 3. </w:t>
      </w:r>
      <w:r w:rsidRPr="00A94CD9">
        <w:rPr>
          <w:color w:val="auto"/>
        </w:rPr>
        <w:t xml:space="preserve">W razie braku zgody na rozwiązania z Pytań 1 i 2, wnoszę o wprowadzenie do § 2 umowy klauzuli przewidującej przedłużenie terminu realizacji o liczbę dni przekraczających ustawowe terminy załatwienia sprawy określone w przepisach szczególnych (m.in. art. 7 ust. 8g Prawa energetycznego, art. 19a ustawy o zbiorowym zaopatrzeniu w wodę i odprowadzaniu ścieków, art. 19 ustawy o planowaniu i zagospodarowaniu przestrzennym, art. 35 Kpa) – w odniesieniu do każdej z procedur wymienionych w pkt 7 lit. a)–d) UWAG. </w:t>
      </w:r>
    </w:p>
    <w:p w14:paraId="7ECEFAE2" w14:textId="4CF77881" w:rsidR="002B5152" w:rsidRPr="00A94CD9" w:rsidRDefault="00000000" w:rsidP="00903D04">
      <w:pPr>
        <w:spacing w:after="96" w:line="293" w:lineRule="auto"/>
        <w:ind w:left="562" w:right="-3" w:hanging="10"/>
        <w:rPr>
          <w:color w:val="auto"/>
        </w:rPr>
      </w:pPr>
      <w:r w:rsidRPr="00A94CD9">
        <w:rPr>
          <w:b/>
          <w:i/>
          <w:color w:val="auto"/>
          <w:sz w:val="20"/>
        </w:rPr>
        <w:t xml:space="preserve">Uzasadnienie: </w:t>
      </w:r>
      <w:r w:rsidRPr="00A94CD9">
        <w:rPr>
          <w:i/>
          <w:color w:val="auto"/>
          <w:sz w:val="20"/>
        </w:rPr>
        <w:t>Wariant kompromisowy: Wykonawca przyjmuje ryzyko ustawowego terminu, natomiast jego przekroczenie przez podmiot trzeci przedłuża termin realizacji „dzień za dzień”.</w:t>
      </w:r>
    </w:p>
    <w:p w14:paraId="6AA45B48" w14:textId="51604EAB" w:rsidR="002B3C07" w:rsidRPr="00A94CD9" w:rsidRDefault="002B5152" w:rsidP="00A94CD9">
      <w:pPr>
        <w:spacing w:after="92" w:line="293" w:lineRule="auto"/>
        <w:ind w:left="562" w:right="-3" w:hanging="10"/>
        <w:rPr>
          <w:b/>
          <w:bCs/>
          <w:color w:val="auto"/>
        </w:rPr>
      </w:pPr>
      <w:r w:rsidRPr="00A94CD9">
        <w:rPr>
          <w:b/>
          <w:bCs/>
          <w:color w:val="auto"/>
        </w:rPr>
        <w:t xml:space="preserve">Odp. </w:t>
      </w:r>
      <w:r w:rsidR="008878FB" w:rsidRPr="00A94CD9">
        <w:rPr>
          <w:b/>
          <w:bCs/>
          <w:color w:val="auto"/>
        </w:rPr>
        <w:t>Zamawiający</w:t>
      </w:r>
      <w:r w:rsidR="00903D04" w:rsidRPr="00A94CD9">
        <w:rPr>
          <w:b/>
          <w:bCs/>
          <w:color w:val="auto"/>
        </w:rPr>
        <w:t xml:space="preserve"> </w:t>
      </w:r>
      <w:r w:rsidR="00863575" w:rsidRPr="00A94CD9">
        <w:rPr>
          <w:b/>
          <w:bCs/>
          <w:color w:val="auto"/>
        </w:rPr>
        <w:t xml:space="preserve">wprowadza dodatkowy punkt do </w:t>
      </w:r>
      <w:r w:rsidR="00863575" w:rsidRPr="00A94CD9">
        <w:rPr>
          <w:b/>
          <w:bCs/>
          <w:color w:val="auto"/>
        </w:rPr>
        <w:t>§ 2</w:t>
      </w:r>
      <w:r w:rsidR="00863575" w:rsidRPr="00A94CD9">
        <w:rPr>
          <w:b/>
          <w:bCs/>
          <w:color w:val="auto"/>
        </w:rPr>
        <w:t xml:space="preserve"> w następującej treści.</w:t>
      </w:r>
    </w:p>
    <w:p w14:paraId="50C03295" w14:textId="0F38232C" w:rsidR="00863575" w:rsidRPr="00A94CD9" w:rsidRDefault="00863575" w:rsidP="00A94CD9">
      <w:pPr>
        <w:spacing w:after="92" w:line="293" w:lineRule="auto"/>
        <w:ind w:left="562" w:right="-3" w:hanging="10"/>
        <w:rPr>
          <w:b/>
          <w:bCs/>
          <w:color w:val="auto"/>
        </w:rPr>
      </w:pPr>
      <w:r w:rsidRPr="00A94CD9">
        <w:rPr>
          <w:b/>
          <w:bCs/>
          <w:color w:val="auto"/>
        </w:rPr>
        <w:t xml:space="preserve">„Zamawiający </w:t>
      </w:r>
      <w:r w:rsidRPr="00A94CD9">
        <w:rPr>
          <w:b/>
          <w:bCs/>
          <w:color w:val="auto"/>
        </w:rPr>
        <w:t>przewiduj</w:t>
      </w:r>
      <w:r w:rsidRPr="00A94CD9">
        <w:rPr>
          <w:b/>
          <w:bCs/>
          <w:color w:val="auto"/>
        </w:rPr>
        <w:t>e</w:t>
      </w:r>
      <w:r w:rsidRPr="00A94CD9">
        <w:rPr>
          <w:b/>
          <w:bCs/>
          <w:color w:val="auto"/>
        </w:rPr>
        <w:t xml:space="preserve"> przedłużenie terminu realizacji o liczbę dni przekraczających ustawowe terminy załatwienia sprawy określone w przepisach szczególnych (m.in. art. 7 ust. 8g Prawa energetycznego, art. 19a ustawy o zbiorowym zaopatrzeniu w wodę i odprowadzaniu ścieków, art. 19 ustawy o planowaniu i zagospodarowaniu przestrzennym, art. 35 Kpa) – w odniesieniu do </w:t>
      </w:r>
      <w:r w:rsidRPr="00A94CD9">
        <w:rPr>
          <w:b/>
          <w:bCs/>
          <w:color w:val="auto"/>
        </w:rPr>
        <w:lastRenderedPageBreak/>
        <w:t>procedury uzyskania</w:t>
      </w:r>
      <w:r w:rsidR="00B23273" w:rsidRPr="00A94CD9">
        <w:rPr>
          <w:b/>
          <w:bCs/>
          <w:color w:val="auto"/>
        </w:rPr>
        <w:t xml:space="preserve"> </w:t>
      </w:r>
      <w:r w:rsidRPr="00A94CD9">
        <w:rPr>
          <w:b/>
          <w:bCs/>
          <w:color w:val="auto"/>
        </w:rPr>
        <w:t>warunk</w:t>
      </w:r>
      <w:r w:rsidRPr="00A94CD9">
        <w:rPr>
          <w:b/>
          <w:bCs/>
          <w:color w:val="auto"/>
        </w:rPr>
        <w:t>ów</w:t>
      </w:r>
      <w:r w:rsidRPr="00A94CD9">
        <w:rPr>
          <w:b/>
          <w:bCs/>
          <w:color w:val="auto"/>
        </w:rPr>
        <w:t xml:space="preserve"> techniczn</w:t>
      </w:r>
      <w:r w:rsidRPr="00A94CD9">
        <w:rPr>
          <w:b/>
          <w:bCs/>
          <w:color w:val="auto"/>
        </w:rPr>
        <w:t>ych</w:t>
      </w:r>
      <w:r w:rsidRPr="00A94CD9">
        <w:rPr>
          <w:b/>
          <w:bCs/>
          <w:color w:val="auto"/>
        </w:rPr>
        <w:t xml:space="preserve"> przyłączenia obiektu do sieci wodno-kanalizacyjnej, energetycznej, cieplnej i innych mediów wydawane przez gestorów sieci</w:t>
      </w:r>
      <w:r w:rsidR="00B23273" w:rsidRPr="00A94CD9">
        <w:rPr>
          <w:b/>
          <w:bCs/>
          <w:color w:val="auto"/>
        </w:rPr>
        <w:t>”.</w:t>
      </w:r>
    </w:p>
    <w:p w14:paraId="48D767FA" w14:textId="77777777" w:rsidR="002B3C07" w:rsidRPr="00A94CD9" w:rsidRDefault="00000000">
      <w:pPr>
        <w:ind w:left="562" w:right="0"/>
        <w:rPr>
          <w:color w:val="auto"/>
        </w:rPr>
      </w:pPr>
      <w:r w:rsidRPr="00A94CD9">
        <w:rPr>
          <w:b/>
          <w:color w:val="auto"/>
        </w:rPr>
        <w:t xml:space="preserve">Pytanie 4. </w:t>
      </w:r>
      <w:r w:rsidRPr="00A94CD9">
        <w:rPr>
          <w:color w:val="auto"/>
        </w:rPr>
        <w:t xml:space="preserve">Wnoszę o jednoznaczne potwierdzenie, że obiekt projektowany ma zostać sklasyfikowany jako budynek pomocniczy dla obsługi funkcji ZDP w rozumieniu § 65 ust. 2 pkt 1 lit. d) MPZP, z kwalifikacją PKOB w grupie 1242 (Budynki garaży) lub – alternatywnie – 1274 (Pozostałe budynki niemieszkalne, gdzie indziej niesklasyfikowane), do uzgodnienia z projektantem w toku procesu projektowego. </w:t>
      </w:r>
    </w:p>
    <w:p w14:paraId="1E1D309F" w14:textId="3E585B06" w:rsidR="002B5152" w:rsidRPr="00A94CD9" w:rsidRDefault="002B5152" w:rsidP="002B5152">
      <w:pPr>
        <w:spacing w:after="158" w:line="293" w:lineRule="auto"/>
        <w:ind w:left="562" w:right="-3" w:hanging="10"/>
        <w:rPr>
          <w:b/>
          <w:bCs/>
          <w:color w:val="auto"/>
        </w:rPr>
      </w:pPr>
      <w:r w:rsidRPr="00A94CD9">
        <w:rPr>
          <w:b/>
          <w:bCs/>
          <w:color w:val="auto"/>
        </w:rPr>
        <w:t>Odp. Zamawiający potwierdza</w:t>
      </w:r>
      <w:r w:rsidR="00344693" w:rsidRPr="00A94CD9">
        <w:rPr>
          <w:b/>
          <w:bCs/>
          <w:color w:val="auto"/>
        </w:rPr>
        <w:t xml:space="preserve"> powyższe.</w:t>
      </w:r>
    </w:p>
    <w:p w14:paraId="0ABCB1EC" w14:textId="48C21D45" w:rsidR="002B3C07" w:rsidRPr="00A94CD9" w:rsidRDefault="00000000">
      <w:pPr>
        <w:ind w:left="562" w:right="0"/>
        <w:rPr>
          <w:color w:val="auto"/>
        </w:rPr>
      </w:pPr>
      <w:r w:rsidRPr="00A94CD9">
        <w:rPr>
          <w:b/>
          <w:color w:val="auto"/>
        </w:rPr>
        <w:t xml:space="preserve">Pytanie 5. </w:t>
      </w:r>
      <w:r w:rsidRPr="00A94CD9">
        <w:rPr>
          <w:color w:val="auto"/>
        </w:rPr>
        <w:t>Czy w razie zakwestionowania przez organ administracji architektoniczno-budowlanej zgodności funkcji opisanej w Załączniku nr 4 (magazynowanie zasobów kryzysowych) z dopuszczeniem z § 65 ust. 2 pkt 1 lit. d) MPZP, Zamawiający dopuszcza modyfikację opisu funkcji – w tym ograniczenie wyposażenia magazynowanego w obiekcie wyłącznie do sprzętu, narzędzi i materiałów eksploatacyjnych związanych z bieżącą działalnością ZDP – oraz pokrycie ewentualnych kosztów dodatkowych uzgodnień wynikających z takiej zmiany?</w:t>
      </w:r>
    </w:p>
    <w:p w14:paraId="787F1494" w14:textId="738AAB16" w:rsidR="002B5152" w:rsidRPr="00A94CD9" w:rsidRDefault="00A94CD9" w:rsidP="00A94CD9">
      <w:pPr>
        <w:spacing w:after="92" w:line="293" w:lineRule="auto"/>
        <w:ind w:left="562" w:right="-3" w:hanging="10"/>
        <w:rPr>
          <w:b/>
          <w:bCs/>
          <w:color w:val="auto"/>
        </w:rPr>
      </w:pPr>
      <w:r>
        <w:rPr>
          <w:b/>
          <w:bCs/>
          <w:color w:val="auto"/>
        </w:rPr>
        <w:t>O</w:t>
      </w:r>
      <w:r w:rsidR="002B5152" w:rsidRPr="00A94CD9">
        <w:rPr>
          <w:b/>
          <w:bCs/>
          <w:color w:val="auto"/>
        </w:rPr>
        <w:t xml:space="preserve">dp. </w:t>
      </w:r>
      <w:r w:rsidR="00903D04" w:rsidRPr="00A94CD9">
        <w:rPr>
          <w:b/>
          <w:bCs/>
          <w:color w:val="auto"/>
        </w:rPr>
        <w:t>Tak.</w:t>
      </w:r>
    </w:p>
    <w:p w14:paraId="040264E2" w14:textId="77777777" w:rsidR="002B3C07" w:rsidRPr="00A94CD9" w:rsidRDefault="00000000">
      <w:pPr>
        <w:spacing w:after="95"/>
        <w:ind w:left="562" w:right="0"/>
        <w:rPr>
          <w:color w:val="auto"/>
        </w:rPr>
      </w:pPr>
      <w:r w:rsidRPr="00A94CD9">
        <w:rPr>
          <w:b/>
          <w:color w:val="auto"/>
        </w:rPr>
        <w:t xml:space="preserve">Pytanie 6. </w:t>
      </w:r>
      <w:r w:rsidRPr="00A94CD9">
        <w:rPr>
          <w:color w:val="auto"/>
        </w:rPr>
        <w:t xml:space="preserve">Czy Zamawiający dysponuje opinią lub wstępnym stanowiskiem Wydziału Architektury i Budownictwa Starostwa Powiatowego w Tarnowskich Górach (lub Urzędu Miejskiego w Tarnowskich Górach – właściwego w sprawie pozwolenia na budowę) co do zgodności planowanej funkcji obiektu z § 65 ust. 2 pkt 1 lit. d) MPZP? Jeżeli tak, wnoszę o jego udostępnienie. </w:t>
      </w:r>
    </w:p>
    <w:p w14:paraId="6AE4E3C7" w14:textId="4EA36C42" w:rsidR="002B3C07" w:rsidRPr="00A94CD9" w:rsidRDefault="00903D04" w:rsidP="00A94CD9">
      <w:pPr>
        <w:spacing w:after="176" w:line="259" w:lineRule="auto"/>
        <w:ind w:left="562" w:right="-26" w:firstLine="0"/>
        <w:jc w:val="left"/>
        <w:rPr>
          <w:b/>
          <w:bCs/>
          <w:color w:val="auto"/>
        </w:rPr>
      </w:pPr>
      <w:r w:rsidRPr="00A94CD9">
        <w:rPr>
          <w:b/>
          <w:bCs/>
          <w:color w:val="auto"/>
        </w:rPr>
        <w:t>Odp.</w:t>
      </w:r>
      <w:r w:rsidR="00B23273" w:rsidRPr="00A94CD9">
        <w:rPr>
          <w:b/>
          <w:bCs/>
          <w:color w:val="auto"/>
        </w:rPr>
        <w:t xml:space="preserve"> </w:t>
      </w:r>
      <w:r w:rsidR="00B23273" w:rsidRPr="00A94CD9">
        <w:rPr>
          <w:b/>
          <w:bCs/>
          <w:color w:val="auto"/>
        </w:rPr>
        <w:t xml:space="preserve">Zamawiający </w:t>
      </w:r>
      <w:r w:rsidR="00B23273" w:rsidRPr="00A94CD9">
        <w:rPr>
          <w:b/>
          <w:bCs/>
          <w:color w:val="auto"/>
        </w:rPr>
        <w:t xml:space="preserve">nie </w:t>
      </w:r>
      <w:r w:rsidR="00B23273" w:rsidRPr="00A94CD9">
        <w:rPr>
          <w:b/>
          <w:bCs/>
          <w:color w:val="auto"/>
        </w:rPr>
        <w:t>dysponuje opinią lub wstępnym stanowiskiem Wydziału Architektury i Budownictwa Starostwa Powiatowego w Tarnowskich Górach co do zgodności planowanej funkcji obiektu z § 65 ust. 2 pkt 1 lit. d) MPZP</w:t>
      </w:r>
    </w:p>
    <w:p w14:paraId="19DB925E" w14:textId="1763DB45" w:rsidR="002B3C07" w:rsidRPr="00A94CD9" w:rsidRDefault="00000000">
      <w:pPr>
        <w:ind w:left="562" w:right="0"/>
        <w:rPr>
          <w:color w:val="auto"/>
        </w:rPr>
      </w:pPr>
      <w:r w:rsidRPr="00A94CD9">
        <w:rPr>
          <w:b/>
          <w:color w:val="auto"/>
        </w:rPr>
        <w:t xml:space="preserve">Pytanie 7. </w:t>
      </w:r>
      <w:r w:rsidRPr="00A94CD9">
        <w:rPr>
          <w:color w:val="auto"/>
        </w:rPr>
        <w:t>Czy Zamawiający potwierdza, że pozostałe w § 9 ust. 2 oraz § 9 ust. 7 (limit łączny kar 30%) projektowanej umowy odesłania do „§ 4 ust. 1” stanowią oczywistą omyłkę pisarską i powinny zostać poprawione na „§ 3 ust. 1” – analogicznie do korekt już dokonanych w § 9 ust. 1 pkt 1–3? W przeciwnym razie postanowienia o karze umownej za wady projektu oraz o limicie łącznym kar pozostają niewykonalne wobec braku ustępu numerowanego „1” w § 4.</w:t>
      </w:r>
    </w:p>
    <w:p w14:paraId="587CC1E4" w14:textId="2D4C3BD4" w:rsidR="002B5152" w:rsidRPr="00A94CD9" w:rsidRDefault="002B5152">
      <w:pPr>
        <w:ind w:left="562" w:right="0"/>
        <w:rPr>
          <w:color w:val="auto"/>
        </w:rPr>
      </w:pPr>
      <w:r w:rsidRPr="00A94CD9">
        <w:rPr>
          <w:b/>
          <w:color w:val="auto"/>
        </w:rPr>
        <w:tab/>
        <w:t xml:space="preserve">Odp. </w:t>
      </w:r>
      <w:r w:rsidR="00762F13" w:rsidRPr="00A94CD9">
        <w:rPr>
          <w:b/>
          <w:color w:val="auto"/>
        </w:rPr>
        <w:t>Odpowiednia korekta zostanie wprowadzona do umowy</w:t>
      </w:r>
      <w:r w:rsidR="00762F13" w:rsidRPr="00A94CD9">
        <w:rPr>
          <w:color w:val="auto"/>
        </w:rPr>
        <w:t>.</w:t>
      </w:r>
    </w:p>
    <w:p w14:paraId="178AEB74" w14:textId="77777777" w:rsidR="002B3C07" w:rsidRPr="00A94CD9" w:rsidRDefault="00000000">
      <w:pPr>
        <w:ind w:left="562" w:right="0"/>
        <w:rPr>
          <w:color w:val="auto"/>
        </w:rPr>
      </w:pPr>
      <w:r w:rsidRPr="00A94CD9">
        <w:rPr>
          <w:b/>
          <w:color w:val="auto"/>
        </w:rPr>
        <w:t xml:space="preserve">Pytanie 8. </w:t>
      </w:r>
      <w:r w:rsidRPr="00A94CD9">
        <w:rPr>
          <w:color w:val="auto"/>
        </w:rPr>
        <w:t xml:space="preserve">Czy odesłanie w § 9 ust. 4 projektowanej umowy („Zamawiający może odstąpić od umowy w przypadku niewykonania zobowiązania w terminie określonym w § 3”) stanowi omyłkę pisarską? Termin realizacji przedmiotu zamówienia jest uregulowany w § 2 ust. 2 umowy, natomiast § 3 dotyczy wynagrodzenia. Wnoszę o korektę odesłania z „§ 3” na „§ 2”. </w:t>
      </w:r>
    </w:p>
    <w:p w14:paraId="330C8EF7" w14:textId="2C5295A6" w:rsidR="00762F13" w:rsidRPr="00A94CD9" w:rsidRDefault="00762F13" w:rsidP="00762F13">
      <w:pPr>
        <w:ind w:left="562" w:right="0" w:firstLine="0"/>
        <w:rPr>
          <w:b/>
          <w:color w:val="auto"/>
        </w:rPr>
      </w:pPr>
      <w:r w:rsidRPr="00A94CD9">
        <w:rPr>
          <w:b/>
          <w:color w:val="auto"/>
        </w:rPr>
        <w:t>Odp. Odpowiednia korekta zostanie wprowadzona do umowy.</w:t>
      </w:r>
    </w:p>
    <w:p w14:paraId="477789AC" w14:textId="77777777" w:rsidR="002B3C07" w:rsidRPr="00A94CD9" w:rsidRDefault="00000000">
      <w:pPr>
        <w:ind w:left="562" w:right="0"/>
        <w:rPr>
          <w:color w:val="auto"/>
        </w:rPr>
      </w:pPr>
      <w:r w:rsidRPr="00A94CD9">
        <w:rPr>
          <w:b/>
          <w:color w:val="auto"/>
        </w:rPr>
        <w:t xml:space="preserve">Pytanie 9. </w:t>
      </w:r>
      <w:r w:rsidRPr="00A94CD9">
        <w:rPr>
          <w:color w:val="auto"/>
        </w:rPr>
        <w:t xml:space="preserve">Czy Zamawiający potwierdza, że w § 9 ust. 1 pkt 1 projektowanej umowy występuje oczywista omyłka pisarska („gdy Zamawiający rozwiążę umowę”) i intencją było użycie formy „rozwiąże”? Niezależnie od powyższego – wnoszę o ujednolicenie terminologii w całym § 9 poprzez powrót do pojęcia „odstąpienie od umowy” w ust. 1 pkt 1 oraz w ust. 5 (zamiast „rozwiązanie umowy”), tak aby zachować spójność z § 9 ust. 4 oraz z konstrukcją prawną odstąpienia od umowy wzajemnej (art. 491– 494 K.c.). Jednocześnie – w celu zapobieżenia bezpodstawnemu wzbogaceniu Zamawiającego w razie odstąpienia od umowy na etapie częściowego wykonania prac – wnoszę o wprowadzenie do § 9 </w:t>
      </w:r>
      <w:r w:rsidRPr="00A94CD9">
        <w:rPr>
          <w:color w:val="auto"/>
        </w:rPr>
        <w:lastRenderedPageBreak/>
        <w:t>nowego ustępu o treści zaproponowanej w załączonym red-</w:t>
      </w:r>
      <w:proofErr w:type="spellStart"/>
      <w:r w:rsidRPr="00A94CD9">
        <w:rPr>
          <w:color w:val="auto"/>
        </w:rPr>
        <w:t>line</w:t>
      </w:r>
      <w:proofErr w:type="spellEnd"/>
      <w:r w:rsidRPr="00A94CD9">
        <w:rPr>
          <w:color w:val="auto"/>
        </w:rPr>
        <w:t xml:space="preserve">, gwarantującego Wykonawcy proporcjonalne wynagrodzenie za faktycznie wykonane i wykorzystane przez Zamawiającego elementy dokumentacji projektowej, przy zachowaniu prawa Zamawiającego do dochodzenia kar umownych i odszkodowania na zasadach ogólnych. </w:t>
      </w:r>
    </w:p>
    <w:p w14:paraId="4FE95EBB" w14:textId="77777777" w:rsidR="002B3C07" w:rsidRPr="00A94CD9" w:rsidRDefault="00000000">
      <w:pPr>
        <w:spacing w:after="7" w:line="293" w:lineRule="auto"/>
        <w:ind w:left="562" w:right="-3" w:hanging="10"/>
        <w:rPr>
          <w:color w:val="auto"/>
        </w:rPr>
      </w:pPr>
      <w:r w:rsidRPr="00A94CD9">
        <w:rPr>
          <w:b/>
          <w:i/>
          <w:color w:val="auto"/>
          <w:sz w:val="20"/>
        </w:rPr>
        <w:t xml:space="preserve">Uzasadnienie: </w:t>
      </w:r>
      <w:r w:rsidRPr="00A94CD9">
        <w:rPr>
          <w:i/>
          <w:color w:val="auto"/>
          <w:sz w:val="20"/>
        </w:rPr>
        <w:t xml:space="preserve">Odstąpienie od umowy ze skutkiem ex </w:t>
      </w:r>
      <w:proofErr w:type="spellStart"/>
      <w:r w:rsidRPr="00A94CD9">
        <w:rPr>
          <w:i/>
          <w:color w:val="auto"/>
          <w:sz w:val="20"/>
        </w:rPr>
        <w:t>tunc</w:t>
      </w:r>
      <w:proofErr w:type="spellEnd"/>
      <w:r w:rsidRPr="00A94CD9">
        <w:rPr>
          <w:i/>
          <w:color w:val="auto"/>
          <w:sz w:val="20"/>
        </w:rPr>
        <w:t xml:space="preserve"> (art. 491–494 K.c.) wymaga – przynajmniej formalnie – zwrotu wszystkich świadczeń wzajemnych. W praktyce umowy o dzieło projektowe oznacza to, że Wykonawca traci prawo do wynagrodzenia za pracę faktycznie wykonaną i przekazaną Zamawiającemu (np. zatwierdzoną koncepcję projektową, projekt zagospodarowania terenu, projekt rozbiórki, opracowania częściowe), z których Zamawiający może następnie skorzystać. Rozwiązanie takie prowadzi do bezpodstawnego wzbogacenia </w:t>
      </w:r>
    </w:p>
    <w:p w14:paraId="46E3FE34" w14:textId="31BB330C" w:rsidR="002B3C07" w:rsidRPr="00A94CD9" w:rsidRDefault="00000000">
      <w:pPr>
        <w:spacing w:after="158" w:line="293" w:lineRule="auto"/>
        <w:ind w:left="562" w:right="-3" w:hanging="10"/>
        <w:rPr>
          <w:color w:val="auto"/>
        </w:rPr>
      </w:pPr>
      <w:r w:rsidRPr="00A94CD9">
        <w:rPr>
          <w:i/>
          <w:color w:val="auto"/>
          <w:sz w:val="20"/>
        </w:rPr>
        <w:t>Zamawiającego kosztem Wykonawcy. Proponowana klauzula wzoruje się na rozwiązaniu znanym z art. 644 K.c. (odstąpienie zamawiającego od umowy o dzieło z obowiązkiem zapłaty wynagrodzenia proporcjonalnego do wartości zaoszczędzonej części) i jest standardem rynkowym w umowach o prace projektowe. Nie narusza ona pozycji Zamawiającego, ponieważ wprost zachowuje jego prawo do kar umownych z § 9 oraz odszkodowania na zasadach ogólnych.</w:t>
      </w:r>
    </w:p>
    <w:p w14:paraId="1BAB156F" w14:textId="1DDC0D50" w:rsidR="006655C5" w:rsidRPr="00A94CD9" w:rsidRDefault="006655C5" w:rsidP="006655C5">
      <w:pPr>
        <w:spacing w:after="158" w:line="293" w:lineRule="auto"/>
        <w:ind w:left="562" w:right="-3" w:hanging="10"/>
        <w:rPr>
          <w:b/>
          <w:bCs/>
          <w:color w:val="auto"/>
        </w:rPr>
      </w:pPr>
      <w:r w:rsidRPr="00A94CD9">
        <w:rPr>
          <w:b/>
          <w:bCs/>
          <w:color w:val="auto"/>
        </w:rPr>
        <w:t>Odp.</w:t>
      </w:r>
    </w:p>
    <w:p w14:paraId="3773467D" w14:textId="6EA410B0" w:rsidR="00903D04" w:rsidRPr="00A94CD9" w:rsidRDefault="00903D04" w:rsidP="006655C5">
      <w:pPr>
        <w:spacing w:after="158" w:line="293" w:lineRule="auto"/>
        <w:ind w:left="562" w:right="-3" w:hanging="10"/>
        <w:rPr>
          <w:b/>
          <w:bCs/>
          <w:color w:val="auto"/>
        </w:rPr>
      </w:pPr>
      <w:r w:rsidRPr="00A94CD9">
        <w:rPr>
          <w:b/>
          <w:bCs/>
          <w:color w:val="auto"/>
        </w:rPr>
        <w:t xml:space="preserve">Ad1. </w:t>
      </w:r>
      <w:r w:rsidR="00A7026A" w:rsidRPr="00A94CD9">
        <w:rPr>
          <w:b/>
          <w:bCs/>
          <w:color w:val="auto"/>
        </w:rPr>
        <w:t>Oczywista omyłka została poprawiona. Słowo „rozwiążę” zostało zamienione słowem „rozwiąże”</w:t>
      </w:r>
    </w:p>
    <w:p w14:paraId="33AF043B" w14:textId="4EEF86DF" w:rsidR="00E365F3" w:rsidRPr="00A94CD9" w:rsidRDefault="00B23273" w:rsidP="006655C5">
      <w:pPr>
        <w:spacing w:after="158" w:line="293" w:lineRule="auto"/>
        <w:ind w:left="562" w:right="-3" w:hanging="10"/>
        <w:rPr>
          <w:b/>
          <w:bCs/>
          <w:color w:val="auto"/>
        </w:rPr>
      </w:pPr>
      <w:r w:rsidRPr="00A94CD9">
        <w:rPr>
          <w:b/>
          <w:bCs/>
          <w:color w:val="auto"/>
        </w:rPr>
        <w:t xml:space="preserve">Ad2. </w:t>
      </w:r>
      <w:r w:rsidR="00A94CD9" w:rsidRPr="00A94CD9">
        <w:rPr>
          <w:b/>
          <w:bCs/>
          <w:color w:val="auto"/>
        </w:rPr>
        <w:t xml:space="preserve">Zamiana </w:t>
      </w:r>
      <w:r w:rsidR="00A94CD9" w:rsidRPr="00A94CD9">
        <w:rPr>
          <w:b/>
          <w:bCs/>
          <w:color w:val="auto"/>
        </w:rPr>
        <w:t>pojęcia</w:t>
      </w:r>
      <w:r w:rsidR="00A94CD9" w:rsidRPr="00A94CD9">
        <w:rPr>
          <w:b/>
          <w:bCs/>
          <w:color w:val="auto"/>
        </w:rPr>
        <w:t xml:space="preserve"> „rozwiązanie umowy” na </w:t>
      </w:r>
      <w:r w:rsidR="00A94CD9" w:rsidRPr="00A94CD9">
        <w:rPr>
          <w:b/>
          <w:bCs/>
          <w:color w:val="auto"/>
        </w:rPr>
        <w:t xml:space="preserve"> „odstąpienie od umowy”</w:t>
      </w:r>
      <w:r w:rsidR="00A94CD9" w:rsidRPr="00A94CD9">
        <w:rPr>
          <w:b/>
          <w:bCs/>
          <w:color w:val="auto"/>
        </w:rPr>
        <w:t xml:space="preserve"> – brak zgody</w:t>
      </w:r>
    </w:p>
    <w:p w14:paraId="47636391" w14:textId="61A692C9" w:rsidR="00A7026A" w:rsidRPr="00A94CD9" w:rsidRDefault="00A7026A" w:rsidP="006655C5">
      <w:pPr>
        <w:spacing w:after="158" w:line="293" w:lineRule="auto"/>
        <w:ind w:left="562" w:right="-3" w:hanging="10"/>
        <w:rPr>
          <w:b/>
          <w:bCs/>
          <w:color w:val="auto"/>
        </w:rPr>
      </w:pPr>
      <w:r w:rsidRPr="00A94CD9">
        <w:rPr>
          <w:b/>
          <w:bCs/>
          <w:color w:val="auto"/>
        </w:rPr>
        <w:t>Ad</w:t>
      </w:r>
      <w:r w:rsidR="00B23273" w:rsidRPr="00A94CD9">
        <w:rPr>
          <w:b/>
          <w:bCs/>
          <w:color w:val="auto"/>
        </w:rPr>
        <w:t>3</w:t>
      </w:r>
      <w:r w:rsidRPr="00A94CD9">
        <w:rPr>
          <w:b/>
          <w:bCs/>
          <w:color w:val="auto"/>
        </w:rPr>
        <w:t xml:space="preserve">. Brak zgody na proporcjonalne wynagrodzenie </w:t>
      </w:r>
      <w:r w:rsidR="008878FB" w:rsidRPr="00A94CD9">
        <w:rPr>
          <w:b/>
          <w:bCs/>
          <w:color w:val="auto"/>
        </w:rPr>
        <w:t xml:space="preserve">za </w:t>
      </w:r>
      <w:r w:rsidRPr="00A94CD9">
        <w:rPr>
          <w:b/>
          <w:bCs/>
          <w:color w:val="auto"/>
        </w:rPr>
        <w:t>wykonane prace. Zamawiający nie zamierza korzystać z dokumentacji projektowej prawidłowo nie ukończonej.</w:t>
      </w:r>
    </w:p>
    <w:p w14:paraId="339BFBAA" w14:textId="77777777" w:rsidR="002B3C07" w:rsidRPr="00A94CD9" w:rsidRDefault="00000000">
      <w:pPr>
        <w:ind w:left="562" w:right="0"/>
        <w:rPr>
          <w:color w:val="auto"/>
        </w:rPr>
      </w:pPr>
      <w:r w:rsidRPr="00A94CD9">
        <w:rPr>
          <w:b/>
          <w:color w:val="auto"/>
        </w:rPr>
        <w:t xml:space="preserve">Pytanie 10. </w:t>
      </w:r>
      <w:r w:rsidRPr="00A94CD9">
        <w:rPr>
          <w:color w:val="auto"/>
        </w:rPr>
        <w:t xml:space="preserve">Do której ustawy odwołuje się § 5 ust. 2 projektowanej umowy w zwrocie „informacje zawarte w dokumentacji (...) muszą określać przedmiot zamówienia w sposób zgodny z Ustawą (art. 29 i 30)”? Wnoszę o jednoznaczne wskazanie pełnej nazwy aktu i podstawy prawnej. Z uwagi na podprogowy charakter zamówienia (poniżej progu 170 000 zł netto, art. 2 ust. 1 pkt 1 PZP a contrario) postanowienie to – w razie odesłania do PZP – nie ma zastosowania, a w obowiązującym brzmieniu PZP z 2019 r. art. 29 i 30 zostały uchylone. </w:t>
      </w:r>
    </w:p>
    <w:p w14:paraId="2E936745" w14:textId="0E2E6649" w:rsidR="006655C5" w:rsidRPr="00A94CD9" w:rsidRDefault="00000000" w:rsidP="00344693">
      <w:pPr>
        <w:spacing w:after="92" w:line="293" w:lineRule="auto"/>
        <w:ind w:left="562" w:right="-3" w:hanging="10"/>
        <w:rPr>
          <w:color w:val="auto"/>
        </w:rPr>
      </w:pPr>
      <w:r w:rsidRPr="00A94CD9">
        <w:rPr>
          <w:b/>
          <w:i/>
          <w:color w:val="auto"/>
          <w:sz w:val="20"/>
        </w:rPr>
        <w:t xml:space="preserve">Uzasadnienie: </w:t>
      </w:r>
      <w:r w:rsidRPr="00A94CD9">
        <w:rPr>
          <w:i/>
          <w:color w:val="auto"/>
          <w:sz w:val="20"/>
        </w:rPr>
        <w:t>Brak jednoznacznego wskazania ustawy uniemożliwia Wykonawcy ustalenie standardu, jakiemu ma odpowiadać dokumentacja w zakresie opisu materiałów i urządzeń. Sugerujemy zastąpienie postanowienia ogólną klauzulą o opisie przedmiotu zamówienia w sposób niedyskryminujący, nie wskazujący na konkretne marki, znaki towarowe lub patenty, chyba że jest to uzasadnione specyfiką przedmiotu zamówienia, z dopuszczeniem rozwiązań równoważnych.</w:t>
      </w:r>
      <w:r w:rsidRPr="00A94CD9">
        <w:rPr>
          <w:color w:val="auto"/>
        </w:rPr>
        <w:t xml:space="preserve"> </w:t>
      </w:r>
    </w:p>
    <w:p w14:paraId="35E7D39A" w14:textId="25623BAA" w:rsidR="00E365F3" w:rsidRPr="00A94CD9" w:rsidRDefault="006655C5" w:rsidP="00A94CD9">
      <w:pPr>
        <w:spacing w:after="158" w:line="293" w:lineRule="auto"/>
        <w:ind w:left="562" w:right="-3" w:hanging="10"/>
        <w:rPr>
          <w:b/>
          <w:bCs/>
          <w:color w:val="auto"/>
        </w:rPr>
      </w:pPr>
      <w:r w:rsidRPr="00A94CD9">
        <w:rPr>
          <w:b/>
          <w:bCs/>
          <w:color w:val="auto"/>
        </w:rPr>
        <w:t xml:space="preserve">Odp.  </w:t>
      </w:r>
      <w:r w:rsidR="00344693" w:rsidRPr="00A94CD9">
        <w:rPr>
          <w:b/>
          <w:bCs/>
          <w:color w:val="auto"/>
        </w:rPr>
        <w:t>Zamawiający modyfikuje zapisy § 5</w:t>
      </w:r>
      <w:r w:rsidR="00A94CD9" w:rsidRPr="00A94CD9">
        <w:rPr>
          <w:b/>
          <w:bCs/>
          <w:color w:val="auto"/>
        </w:rPr>
        <w:t xml:space="preserve">, pkt 2 </w:t>
      </w:r>
      <w:r w:rsidR="00E365F3" w:rsidRPr="00A94CD9">
        <w:rPr>
          <w:b/>
          <w:bCs/>
          <w:color w:val="auto"/>
        </w:rPr>
        <w:t xml:space="preserve">w następujący sposób: </w:t>
      </w:r>
    </w:p>
    <w:p w14:paraId="1F21805F" w14:textId="355E4211" w:rsidR="006655C5" w:rsidRPr="00A94CD9" w:rsidRDefault="00A94CD9" w:rsidP="00A94CD9">
      <w:pPr>
        <w:spacing w:after="158" w:line="293" w:lineRule="auto"/>
        <w:ind w:left="562" w:right="-3" w:hanging="10"/>
        <w:rPr>
          <w:b/>
          <w:bCs/>
          <w:color w:val="auto"/>
        </w:rPr>
      </w:pPr>
      <w:r w:rsidRPr="00A94CD9">
        <w:rPr>
          <w:b/>
          <w:bCs/>
          <w:color w:val="auto"/>
        </w:rPr>
        <w:t>„</w:t>
      </w:r>
      <w:r w:rsidRPr="00A94CD9">
        <w:rPr>
          <w:b/>
          <w:bCs/>
          <w:color w:val="auto"/>
        </w:rPr>
        <w:t>Informacje zawarte w dokumentacji w zakresie technologii wykonania robót, doboru materiałów i urządzeń muszą określać przedmiot zamówienia w sposób niedyskryminujący i niewskazujący na konkretne marki, znaki towarowe lub patenty, chyba że jest to uzasadnione specyfiką przedmiotu zamówienia, z dopuszczeniem rozwiązań równoważnych.</w:t>
      </w:r>
      <w:r w:rsidRPr="00A94CD9">
        <w:rPr>
          <w:b/>
          <w:bCs/>
          <w:color w:val="auto"/>
        </w:rPr>
        <w:t>”</w:t>
      </w:r>
    </w:p>
    <w:p w14:paraId="18E92148" w14:textId="77777777" w:rsidR="002B3C07" w:rsidRPr="00A94CD9" w:rsidRDefault="00000000">
      <w:pPr>
        <w:ind w:left="562" w:right="0"/>
        <w:rPr>
          <w:color w:val="auto"/>
        </w:rPr>
      </w:pPr>
      <w:r w:rsidRPr="00A94CD9">
        <w:rPr>
          <w:b/>
          <w:color w:val="auto"/>
        </w:rPr>
        <w:t xml:space="preserve">Pytanie 11. </w:t>
      </w:r>
      <w:r w:rsidRPr="00A94CD9">
        <w:rPr>
          <w:color w:val="auto"/>
        </w:rPr>
        <w:t xml:space="preserve">Wnoszę o przywrócenie w § 2 ust. 4 oraz § 3 ust. 5 projektowanej umowy terminologii „decyzja ostateczna” (w rozumieniu art. 16 § 1 Kpa), zgodnie z brzmieniem zapytania ofertowego oraz pkt 8 UWAG do Załącznika nr 4. Zmiana na „decyzję prawomocną” (art. 16 § 3 Kpa) wprowadza dodatkowy 30-dniowy okres oczekiwania na płatność – do upływu terminu na wniesienie skargi do sądu </w:t>
      </w:r>
      <w:r w:rsidRPr="00A94CD9">
        <w:rPr>
          <w:color w:val="auto"/>
        </w:rPr>
        <w:lastRenderedPageBreak/>
        <w:t xml:space="preserve">administracyjnego – nieuzasadniony charakterem zamówienia i niezgodny z pozostałą treścią dokumentacji postępowania. </w:t>
      </w:r>
    </w:p>
    <w:p w14:paraId="29E789C1" w14:textId="653AF021" w:rsidR="006655C5" w:rsidRPr="00A94CD9" w:rsidRDefault="00000000" w:rsidP="00F065DE">
      <w:pPr>
        <w:spacing w:after="158" w:line="293" w:lineRule="auto"/>
        <w:ind w:left="562" w:right="-3" w:hanging="10"/>
        <w:rPr>
          <w:color w:val="auto"/>
        </w:rPr>
      </w:pPr>
      <w:r w:rsidRPr="00A94CD9">
        <w:rPr>
          <w:b/>
          <w:i/>
          <w:color w:val="auto"/>
          <w:sz w:val="20"/>
        </w:rPr>
        <w:t xml:space="preserve">Uzasadnienie: </w:t>
      </w:r>
      <w:r w:rsidRPr="00A94CD9">
        <w:rPr>
          <w:i/>
          <w:color w:val="auto"/>
          <w:sz w:val="20"/>
        </w:rPr>
        <w:t xml:space="preserve">„Ostateczność” decyzji (art. 16 § 1 Kpa) powstaje z chwilą wyczerpania zwykłego toku instancji administracyjnej (po terminie do odwołania lub po doręczeniu decyzji organu II instancji). „Prawomocność” (art. 16 § 3 Kpa) wymaga dodatkowo upływu 30-dniowego terminu do wniesienia skargi do wojewódzkiego sądu administracyjnego (art. 53 § 1 </w:t>
      </w:r>
      <w:proofErr w:type="spellStart"/>
      <w:r w:rsidRPr="00A94CD9">
        <w:rPr>
          <w:i/>
          <w:color w:val="auto"/>
          <w:sz w:val="20"/>
        </w:rPr>
        <w:t>p.p.s.a</w:t>
      </w:r>
      <w:proofErr w:type="spellEnd"/>
      <w:r w:rsidRPr="00A94CD9">
        <w:rPr>
          <w:i/>
          <w:color w:val="auto"/>
          <w:sz w:val="20"/>
        </w:rPr>
        <w:t>.). Różnica między tymi stanami prawnymi wynosi co najmniej 30 dni, w trakcie których Wykonawca – przy obecnym modelu jednorazowej płatności – nie może wystawić faktury, mimo że wykonał umowę w pełnym zakresie i decyzja, na podstawie której można rozpocząć roboty, jest już wykonalna. Pozostałe dokumenty postępowania (zapytanie, pkt 8 UWAG do Załącznika nr 4) konsekwentnie posługują się pojęciem „ostateczna”, co dodatkowo wzmacnia wniosek o konieczności ujednolicenia umowy z resztą dokumentacji.</w:t>
      </w:r>
      <w:r w:rsidRPr="00A94CD9">
        <w:rPr>
          <w:color w:val="auto"/>
        </w:rPr>
        <w:t xml:space="preserve"> </w:t>
      </w:r>
    </w:p>
    <w:p w14:paraId="38245FFD" w14:textId="6FE953A6" w:rsidR="006655C5" w:rsidRPr="00A94CD9" w:rsidRDefault="006655C5">
      <w:pPr>
        <w:spacing w:after="158" w:line="293" w:lineRule="auto"/>
        <w:ind w:left="562" w:right="-3" w:hanging="10"/>
        <w:rPr>
          <w:b/>
          <w:bCs/>
          <w:color w:val="auto"/>
        </w:rPr>
      </w:pPr>
      <w:r w:rsidRPr="00A94CD9">
        <w:rPr>
          <w:b/>
          <w:bCs/>
          <w:color w:val="auto"/>
        </w:rPr>
        <w:t xml:space="preserve">Odp. </w:t>
      </w:r>
      <w:r w:rsidR="00F065DE" w:rsidRPr="00A94CD9">
        <w:rPr>
          <w:b/>
          <w:bCs/>
          <w:color w:val="auto"/>
        </w:rPr>
        <w:t>Zamawiający wyraża zgodę na zmianę przedmiotowego zapisu na „decyzja ostateczna” – dotyczy wszystkich dokumentów zapytania</w:t>
      </w:r>
    </w:p>
    <w:p w14:paraId="3C04FA9E" w14:textId="77777777" w:rsidR="002B3C07" w:rsidRPr="00A94CD9" w:rsidRDefault="00000000">
      <w:pPr>
        <w:ind w:left="562" w:right="0"/>
        <w:rPr>
          <w:color w:val="auto"/>
        </w:rPr>
      </w:pPr>
      <w:r w:rsidRPr="00A94CD9">
        <w:rPr>
          <w:b/>
          <w:color w:val="auto"/>
        </w:rPr>
        <w:t xml:space="preserve">Pytanie 12. </w:t>
      </w:r>
      <w:r w:rsidRPr="00A94CD9">
        <w:rPr>
          <w:color w:val="auto"/>
        </w:rPr>
        <w:t xml:space="preserve">Czy Zamawiający dopuszcza zmianę struktury płatności na model etapowy, np.: 30% wynagrodzenia po zatwierdzeniu koncepcji projektowej (§ 4 pkt 2 umowy), 40% po skompletowaniu i złożeniu wniosku o pozwolenie na budowę wraz z kompletem dokumentacji projektowej, 30% po uzyskaniu ostatecznych decyzji – pozwolenia na budowę i pozwolenia na rozbiórkę? </w:t>
      </w:r>
    </w:p>
    <w:p w14:paraId="260F509F" w14:textId="77777777" w:rsidR="002B3C07" w:rsidRPr="00A94CD9" w:rsidRDefault="00000000">
      <w:pPr>
        <w:spacing w:after="158" w:line="293" w:lineRule="auto"/>
        <w:ind w:left="562" w:right="-3" w:hanging="10"/>
        <w:rPr>
          <w:color w:val="auto"/>
        </w:rPr>
      </w:pPr>
      <w:r w:rsidRPr="00A94CD9">
        <w:rPr>
          <w:b/>
          <w:i/>
          <w:color w:val="auto"/>
          <w:sz w:val="20"/>
        </w:rPr>
        <w:t xml:space="preserve">Uzasadnienie: </w:t>
      </w:r>
      <w:r w:rsidRPr="00A94CD9">
        <w:rPr>
          <w:i/>
          <w:color w:val="auto"/>
          <w:sz w:val="20"/>
        </w:rPr>
        <w:t>Etapowanie płatności proporcjonalnie do faktycznego stanu zaawansowania prac jest standardem rynkowym w umowach na dokumentację projektową. Ogranicza ekspozycję Wykonawcy na ryzyko zewnętrznych etapów administracyjnych, bez uszczerbku dla pozycji Zamawiającego, który zachowuje narzędzie nacisku w postaci ostatniej raty warunkowanej uzyskaniem decyzji ostatecznej.</w:t>
      </w:r>
      <w:r w:rsidRPr="00A94CD9">
        <w:rPr>
          <w:color w:val="auto"/>
        </w:rPr>
        <w:t xml:space="preserve"> </w:t>
      </w:r>
    </w:p>
    <w:p w14:paraId="1E5FE30C" w14:textId="5B218DCF" w:rsidR="003954C4" w:rsidRPr="00A94CD9" w:rsidRDefault="003954C4">
      <w:pPr>
        <w:spacing w:after="158" w:line="293" w:lineRule="auto"/>
        <w:ind w:left="562" w:right="-3" w:hanging="10"/>
        <w:rPr>
          <w:b/>
          <w:bCs/>
          <w:color w:val="auto"/>
        </w:rPr>
      </w:pPr>
      <w:r w:rsidRPr="00A94CD9">
        <w:rPr>
          <w:b/>
          <w:bCs/>
          <w:color w:val="auto"/>
        </w:rPr>
        <w:t>Odp. Nie</w:t>
      </w:r>
    </w:p>
    <w:p w14:paraId="3494B9B5" w14:textId="77777777" w:rsidR="002B3C07" w:rsidRPr="00A94CD9" w:rsidRDefault="00000000">
      <w:pPr>
        <w:ind w:left="562" w:right="0"/>
        <w:rPr>
          <w:color w:val="auto"/>
        </w:rPr>
      </w:pPr>
      <w:r w:rsidRPr="00A94CD9">
        <w:rPr>
          <w:b/>
          <w:color w:val="auto"/>
        </w:rPr>
        <w:t xml:space="preserve">Pytanie 13. </w:t>
      </w:r>
      <w:r w:rsidRPr="00A94CD9">
        <w:rPr>
          <w:color w:val="auto"/>
        </w:rPr>
        <w:t xml:space="preserve">Doceniając obniżenie w § 9 ust. 1 pkt 1 kary umownej z 20% do 10% wynagrodzenia – wnoszę o analogiczne obniżenie kar umownych za zwłokę w § 9 ust. 1 pkt 2 i pkt 3 z 0,1% do 0,05% wynagrodzenia za każdy dzień zwłoki, a także obniżenie kary z § 9 ust. 2 (wady projektu ujawnione na </w:t>
      </w:r>
    </w:p>
    <w:p w14:paraId="48A51558" w14:textId="77777777" w:rsidR="002B3C07" w:rsidRPr="00A94CD9" w:rsidRDefault="00000000">
      <w:pPr>
        <w:ind w:left="567" w:right="0" w:firstLine="0"/>
        <w:rPr>
          <w:color w:val="auto"/>
        </w:rPr>
      </w:pPr>
      <w:r w:rsidRPr="00A94CD9">
        <w:rPr>
          <w:color w:val="auto"/>
        </w:rPr>
        <w:t xml:space="preserve">etapie realizacji) z 20% do 10% wynagrodzenia oraz limitu łącznego kar (§ 9 ust. 7) z 30% do 15% wynagrodzenia. </w:t>
      </w:r>
    </w:p>
    <w:p w14:paraId="29971621" w14:textId="45573083" w:rsidR="003954C4" w:rsidRPr="00A94CD9" w:rsidRDefault="00000000" w:rsidP="00D4424A">
      <w:pPr>
        <w:spacing w:after="92" w:line="293" w:lineRule="auto"/>
        <w:ind w:left="562" w:right="-3" w:hanging="10"/>
        <w:rPr>
          <w:color w:val="auto"/>
        </w:rPr>
      </w:pPr>
      <w:r w:rsidRPr="00A94CD9">
        <w:rPr>
          <w:b/>
          <w:i/>
          <w:color w:val="auto"/>
          <w:sz w:val="20"/>
        </w:rPr>
        <w:t xml:space="preserve">Uzasadnienie: </w:t>
      </w:r>
      <w:r w:rsidRPr="00A94CD9">
        <w:rPr>
          <w:i/>
          <w:color w:val="auto"/>
          <w:sz w:val="20"/>
        </w:rPr>
        <w:t xml:space="preserve">Symetria – obniżenie kary za odstąpienie z 20% do 10% pozostawia proporcję pomiędzy karami za zwłokę a karami za zakończenie umowy w stanie nieodwracalnym na niewłaściwym poziomie. Przy 12tygodniowym terminie realizacji i obecnej stawce 0,1%/dzień, miesiąc opóźnienia oznacza karę rzędu 3% wartości kontraktu – pięciokrotność proporcjonalnego udziału tego miesiąca w wynagrodzeniu. Wysokość kar powinna pozostawać proporcjonalna do skali </w:t>
      </w:r>
      <w:proofErr w:type="spellStart"/>
      <w:r w:rsidRPr="00A94CD9">
        <w:rPr>
          <w:i/>
          <w:color w:val="auto"/>
          <w:sz w:val="20"/>
        </w:rPr>
        <w:t>ryzyk</w:t>
      </w:r>
      <w:proofErr w:type="spellEnd"/>
      <w:r w:rsidRPr="00A94CD9">
        <w:rPr>
          <w:i/>
          <w:color w:val="auto"/>
          <w:sz w:val="20"/>
        </w:rPr>
        <w:t xml:space="preserve"> faktycznie </w:t>
      </w:r>
      <w:proofErr w:type="spellStart"/>
      <w:r w:rsidRPr="00A94CD9">
        <w:rPr>
          <w:i/>
          <w:color w:val="auto"/>
          <w:sz w:val="20"/>
        </w:rPr>
        <w:t>zarządzalnych</w:t>
      </w:r>
      <w:proofErr w:type="spellEnd"/>
      <w:r w:rsidRPr="00A94CD9">
        <w:rPr>
          <w:i/>
          <w:color w:val="auto"/>
          <w:sz w:val="20"/>
        </w:rPr>
        <w:t xml:space="preserve"> przez Wykonawcę.</w:t>
      </w:r>
      <w:r w:rsidRPr="00A94CD9">
        <w:rPr>
          <w:color w:val="auto"/>
        </w:rPr>
        <w:t xml:space="preserve"> </w:t>
      </w:r>
    </w:p>
    <w:p w14:paraId="63A2F510" w14:textId="3CECD89F" w:rsidR="002B3C07" w:rsidRPr="00A94CD9" w:rsidRDefault="003954C4" w:rsidP="00D4424A">
      <w:pPr>
        <w:spacing w:after="92" w:line="293" w:lineRule="auto"/>
        <w:ind w:left="562" w:right="-3" w:hanging="10"/>
        <w:rPr>
          <w:b/>
          <w:bCs/>
          <w:color w:val="auto"/>
        </w:rPr>
      </w:pPr>
      <w:r w:rsidRPr="00A94CD9">
        <w:rPr>
          <w:b/>
          <w:bCs/>
          <w:color w:val="auto"/>
        </w:rPr>
        <w:t>Odp. Brak zgody.</w:t>
      </w:r>
    </w:p>
    <w:p w14:paraId="63598B92" w14:textId="211B0053" w:rsidR="002B3C07" w:rsidRPr="00A94CD9" w:rsidRDefault="00000000">
      <w:pPr>
        <w:ind w:left="562" w:right="0"/>
        <w:rPr>
          <w:color w:val="auto"/>
        </w:rPr>
      </w:pPr>
      <w:r w:rsidRPr="00A94CD9">
        <w:rPr>
          <w:b/>
          <w:color w:val="auto"/>
        </w:rPr>
        <w:t xml:space="preserve">Pytanie 14. </w:t>
      </w:r>
      <w:r w:rsidRPr="00A94CD9">
        <w:rPr>
          <w:color w:val="auto"/>
        </w:rPr>
        <w:t xml:space="preserve">Czy Zamawiający dysponuje archiwalnymi badaniami środowiskowymi (gleba, wody podziemne) dla obszaru zlokalizowania byłego magazynu paliwa, w szczególności raportami z zamknięcia eksploatacji infrastruktury </w:t>
      </w:r>
      <w:proofErr w:type="spellStart"/>
      <w:r w:rsidRPr="00A94CD9">
        <w:rPr>
          <w:color w:val="auto"/>
        </w:rPr>
        <w:t>magazynowo-paliwowej</w:t>
      </w:r>
      <w:proofErr w:type="spellEnd"/>
      <w:r w:rsidRPr="00A94CD9">
        <w:rPr>
          <w:color w:val="auto"/>
        </w:rPr>
        <w:t xml:space="preserve"> (np. likwidacja zbiorników)? Jeżeli tak, wnoszę o ich udostępnienie na etapie postępowania ofertowego.</w:t>
      </w:r>
    </w:p>
    <w:p w14:paraId="1F9C9BC5" w14:textId="19CFB8F2" w:rsidR="00F065DE" w:rsidRPr="00A94CD9" w:rsidRDefault="00F065DE" w:rsidP="00A94CD9">
      <w:pPr>
        <w:spacing w:after="92" w:line="293" w:lineRule="auto"/>
        <w:ind w:left="562" w:right="-3" w:hanging="10"/>
        <w:rPr>
          <w:b/>
          <w:bCs/>
          <w:color w:val="auto"/>
        </w:rPr>
      </w:pPr>
      <w:r w:rsidRPr="00A94CD9">
        <w:rPr>
          <w:b/>
          <w:bCs/>
          <w:color w:val="auto"/>
        </w:rPr>
        <w:t>Odp. Zbiorniki na paliwo zostały zlikwidowane.</w:t>
      </w:r>
    </w:p>
    <w:p w14:paraId="7D4C4BC8" w14:textId="77777777" w:rsidR="002B3C07" w:rsidRPr="00A94CD9" w:rsidRDefault="00000000">
      <w:pPr>
        <w:ind w:left="562" w:right="0"/>
        <w:rPr>
          <w:color w:val="auto"/>
        </w:rPr>
      </w:pPr>
      <w:r w:rsidRPr="00A94CD9">
        <w:rPr>
          <w:b/>
          <w:color w:val="auto"/>
        </w:rPr>
        <w:t xml:space="preserve">Pytanie 15. </w:t>
      </w:r>
      <w:r w:rsidRPr="00A94CD9">
        <w:rPr>
          <w:color w:val="auto"/>
        </w:rPr>
        <w:t xml:space="preserve">Kto poniesie koszty ewentualnej </w:t>
      </w:r>
      <w:proofErr w:type="spellStart"/>
      <w:r w:rsidRPr="00A94CD9">
        <w:rPr>
          <w:color w:val="auto"/>
        </w:rPr>
        <w:t>remediacji</w:t>
      </w:r>
      <w:proofErr w:type="spellEnd"/>
      <w:r w:rsidRPr="00A94CD9">
        <w:rPr>
          <w:color w:val="auto"/>
        </w:rPr>
        <w:t xml:space="preserve"> gruntu, projektu </w:t>
      </w:r>
      <w:proofErr w:type="spellStart"/>
      <w:r w:rsidRPr="00A94CD9">
        <w:rPr>
          <w:color w:val="auto"/>
        </w:rPr>
        <w:t>remediacji</w:t>
      </w:r>
      <w:proofErr w:type="spellEnd"/>
      <w:r w:rsidRPr="00A94CD9">
        <w:rPr>
          <w:color w:val="auto"/>
        </w:rPr>
        <w:t xml:space="preserve"> oraz uzyskania decyzji RDOŚ o uznaniu obszaru za przywrócony do stanu właściwego, w razie ujawnienia w toku badań </w:t>
      </w:r>
      <w:r w:rsidRPr="00A94CD9">
        <w:rPr>
          <w:color w:val="auto"/>
        </w:rPr>
        <w:lastRenderedPageBreak/>
        <w:t xml:space="preserve">geologiczno-inżynierskich (objętych zakresem zamówienia zgodnie z pkt 4 UWAG) przekroczeń dopuszczalnych zawartości substancji – w szczególności węglowodorów ropopochodnych – określonych rozporządzeniem Ministra Środowiska z dnia 1 września 2016 r. w sprawie sposobu prowadzenia oceny zanieczyszczenia powierzchni ziemi? </w:t>
      </w:r>
    </w:p>
    <w:p w14:paraId="287635E1" w14:textId="304F2FB7" w:rsidR="00F065DE" w:rsidRPr="00A94CD9" w:rsidRDefault="00F065DE" w:rsidP="00A94CD9">
      <w:pPr>
        <w:spacing w:after="92" w:line="293" w:lineRule="auto"/>
        <w:ind w:left="562" w:right="-3" w:hanging="10"/>
        <w:rPr>
          <w:b/>
          <w:bCs/>
          <w:color w:val="auto"/>
        </w:rPr>
      </w:pPr>
      <w:r w:rsidRPr="00A94CD9">
        <w:rPr>
          <w:b/>
          <w:bCs/>
          <w:color w:val="auto"/>
        </w:rPr>
        <w:tab/>
        <w:t>Odp. Koszty poniesie Zamawiający.</w:t>
      </w:r>
    </w:p>
    <w:p w14:paraId="73043F80" w14:textId="77777777" w:rsidR="002B3C07" w:rsidRPr="00A94CD9" w:rsidRDefault="00000000">
      <w:pPr>
        <w:spacing w:after="94"/>
        <w:ind w:left="562" w:right="0"/>
        <w:rPr>
          <w:color w:val="auto"/>
        </w:rPr>
      </w:pPr>
      <w:r w:rsidRPr="00A94CD9">
        <w:rPr>
          <w:b/>
          <w:color w:val="auto"/>
        </w:rPr>
        <w:t xml:space="preserve">Pytanie 16. </w:t>
      </w:r>
      <w:r w:rsidRPr="00A94CD9">
        <w:rPr>
          <w:color w:val="auto"/>
        </w:rPr>
        <w:t xml:space="preserve">Czy w razie konieczności wszczęcia procedury środowiskowej (zgłoszenie szkody w środowisku, projekt </w:t>
      </w:r>
      <w:proofErr w:type="spellStart"/>
      <w:r w:rsidRPr="00A94CD9">
        <w:rPr>
          <w:color w:val="auto"/>
        </w:rPr>
        <w:t>remediacji</w:t>
      </w:r>
      <w:proofErr w:type="spellEnd"/>
      <w:r w:rsidRPr="00A94CD9">
        <w:rPr>
          <w:color w:val="auto"/>
        </w:rPr>
        <w:t xml:space="preserve">, decyzja RDOŚ) Zamawiający dopuści wyłączenie okresu jej trwania z biegu 12-tygodniowego terminu realizacji – analogicznie do mechanizmu z § 2 ust. 4 umowy? </w:t>
      </w:r>
    </w:p>
    <w:p w14:paraId="688D29FE" w14:textId="1DBDBF02" w:rsidR="00F065DE" w:rsidRPr="00A94CD9" w:rsidRDefault="00F065DE" w:rsidP="00F065DE">
      <w:pPr>
        <w:spacing w:after="94"/>
        <w:ind w:left="562" w:right="0" w:firstLine="0"/>
        <w:rPr>
          <w:b/>
          <w:color w:val="auto"/>
        </w:rPr>
      </w:pPr>
      <w:r w:rsidRPr="00A94CD9">
        <w:rPr>
          <w:b/>
          <w:color w:val="auto"/>
        </w:rPr>
        <w:t>Odp. Nie</w:t>
      </w:r>
    </w:p>
    <w:p w14:paraId="5867F709" w14:textId="77777777" w:rsidR="002B3C07" w:rsidRPr="00A94CD9" w:rsidRDefault="00000000">
      <w:pPr>
        <w:spacing w:after="94"/>
        <w:ind w:left="562" w:right="0"/>
        <w:rPr>
          <w:color w:val="auto"/>
        </w:rPr>
      </w:pPr>
      <w:r w:rsidRPr="00A94CD9">
        <w:rPr>
          <w:b/>
          <w:color w:val="auto"/>
        </w:rPr>
        <w:t xml:space="preserve">Pytanie 17. </w:t>
      </w:r>
      <w:r w:rsidRPr="00A94CD9">
        <w:rPr>
          <w:color w:val="auto"/>
        </w:rPr>
        <w:t xml:space="preserve">Czy w stosunku do działki 2059/1 Wojewódzki Urząd Ochrony Zabytków w Katowicach lub jego Delegatura wydał wytyczne dotyczące prowadzenia badań archeologicznych lub ustanowienia nadzoru archeologicznego w toku prac ziemnych? Wnoszę o udostępnienie ewentualnego stanowiska WUOZ; w braku takiego stanowiska – o potwierdzenie, że uzyskanie ewentualnych wytycznych WUOZ nie wpływa na bieg 12-tygodniowego terminu i pozostaje po stronie Zamawiającego. </w:t>
      </w:r>
    </w:p>
    <w:p w14:paraId="277D0BC8" w14:textId="310769AF" w:rsidR="002B3C07" w:rsidRPr="00A94CD9" w:rsidRDefault="00F065DE" w:rsidP="00A94CD9">
      <w:pPr>
        <w:spacing w:after="92" w:line="293" w:lineRule="auto"/>
        <w:ind w:left="562" w:right="-3" w:hanging="10"/>
        <w:rPr>
          <w:b/>
          <w:bCs/>
          <w:color w:val="auto"/>
        </w:rPr>
      </w:pPr>
      <w:r w:rsidRPr="00A94CD9">
        <w:rPr>
          <w:b/>
          <w:bCs/>
          <w:color w:val="auto"/>
        </w:rPr>
        <w:t>Odp. Wojewódzki Urząd Ochrony Zabytków w Katowicach nie wydał  wytycznych dotyczących prowadzenia badań archeologicznych lub ustanowienia nadzoru archeologicznego w toku prac ziemnych na działce 2059/1</w:t>
      </w:r>
    </w:p>
    <w:p w14:paraId="60C3D271" w14:textId="77777777" w:rsidR="002B3C07" w:rsidRPr="00A94CD9" w:rsidRDefault="00000000">
      <w:pPr>
        <w:ind w:left="562" w:right="0"/>
        <w:rPr>
          <w:color w:val="auto"/>
        </w:rPr>
      </w:pPr>
      <w:r w:rsidRPr="00A94CD9">
        <w:rPr>
          <w:b/>
          <w:color w:val="auto"/>
        </w:rPr>
        <w:t xml:space="preserve">Pytanie 18. </w:t>
      </w:r>
      <w:r w:rsidRPr="00A94CD9">
        <w:rPr>
          <w:color w:val="auto"/>
        </w:rPr>
        <w:t xml:space="preserve">Jaki jest oczekiwany przedział mocy zainstalowanej instalacji PV oraz pojemności magazynu energii? Czy Zamawiający posiada koncepcję bilansowo-energetyczną obiektu lub założenia w zakresie </w:t>
      </w:r>
      <w:proofErr w:type="spellStart"/>
      <w:r w:rsidRPr="00A94CD9">
        <w:rPr>
          <w:color w:val="auto"/>
        </w:rPr>
        <w:t>autokonsumpcji</w:t>
      </w:r>
      <w:proofErr w:type="spellEnd"/>
      <w:r w:rsidRPr="00A94CD9">
        <w:rPr>
          <w:color w:val="auto"/>
        </w:rPr>
        <w:t xml:space="preserve">, oddawania energii do sieci i pracy wyspowej? </w:t>
      </w:r>
    </w:p>
    <w:p w14:paraId="1B0C2A80" w14:textId="755D581A" w:rsidR="00F065DE" w:rsidRPr="00A94CD9" w:rsidRDefault="00F065DE" w:rsidP="00A94CD9">
      <w:pPr>
        <w:spacing w:after="92" w:line="293" w:lineRule="auto"/>
        <w:ind w:left="562" w:right="-3" w:hanging="10"/>
        <w:rPr>
          <w:b/>
          <w:bCs/>
          <w:color w:val="auto"/>
        </w:rPr>
      </w:pPr>
      <w:r w:rsidRPr="00A94CD9">
        <w:rPr>
          <w:b/>
          <w:bCs/>
          <w:color w:val="auto"/>
        </w:rPr>
        <w:t>Odp. Moc PV do 50kWp,</w:t>
      </w:r>
      <w:r w:rsidR="00D907A2" w:rsidRPr="00A94CD9">
        <w:rPr>
          <w:b/>
          <w:bCs/>
          <w:color w:val="auto"/>
        </w:rPr>
        <w:t xml:space="preserve"> </w:t>
      </w:r>
      <w:r w:rsidRPr="00A94CD9">
        <w:rPr>
          <w:b/>
          <w:bCs/>
          <w:color w:val="auto"/>
        </w:rPr>
        <w:t xml:space="preserve">pojemność magazynu – </w:t>
      </w:r>
      <w:r w:rsidR="00D907A2" w:rsidRPr="00A94CD9">
        <w:rPr>
          <w:b/>
          <w:bCs/>
          <w:color w:val="auto"/>
        </w:rPr>
        <w:t>Decyzja Zamawiającego wg. propozycji projektanta na etapie realizacji projektu</w:t>
      </w:r>
      <w:r w:rsidRPr="00A94CD9">
        <w:rPr>
          <w:b/>
          <w:bCs/>
          <w:color w:val="auto"/>
        </w:rPr>
        <w:t xml:space="preserve">, </w:t>
      </w:r>
      <w:r w:rsidR="00D907A2" w:rsidRPr="00A94CD9">
        <w:rPr>
          <w:b/>
          <w:bCs/>
          <w:color w:val="auto"/>
        </w:rPr>
        <w:t xml:space="preserve"> Zamawiający nie dysponuje </w:t>
      </w:r>
      <w:r w:rsidRPr="00A94CD9">
        <w:rPr>
          <w:b/>
          <w:bCs/>
          <w:color w:val="auto"/>
        </w:rPr>
        <w:t>koncepcj</w:t>
      </w:r>
      <w:r w:rsidR="00D907A2" w:rsidRPr="00A94CD9">
        <w:rPr>
          <w:b/>
          <w:bCs/>
          <w:color w:val="auto"/>
        </w:rPr>
        <w:t>ą</w:t>
      </w:r>
      <w:r w:rsidRPr="00A94CD9">
        <w:rPr>
          <w:b/>
          <w:bCs/>
          <w:color w:val="auto"/>
        </w:rPr>
        <w:t xml:space="preserve"> bilansowo – energetyczn</w:t>
      </w:r>
      <w:r w:rsidR="00D907A2" w:rsidRPr="00A94CD9">
        <w:rPr>
          <w:b/>
          <w:bCs/>
          <w:color w:val="auto"/>
        </w:rPr>
        <w:t>ą</w:t>
      </w:r>
      <w:r w:rsidRPr="00A94CD9">
        <w:rPr>
          <w:b/>
          <w:bCs/>
          <w:color w:val="auto"/>
        </w:rPr>
        <w:t xml:space="preserve"> obiektu.</w:t>
      </w:r>
    </w:p>
    <w:p w14:paraId="536D34AE" w14:textId="233406BC" w:rsidR="002B3C07" w:rsidRPr="00A94CD9" w:rsidRDefault="00000000">
      <w:pPr>
        <w:ind w:left="562" w:right="0"/>
        <w:rPr>
          <w:color w:val="auto"/>
        </w:rPr>
      </w:pPr>
      <w:r w:rsidRPr="00A94CD9">
        <w:rPr>
          <w:b/>
          <w:color w:val="auto"/>
        </w:rPr>
        <w:t xml:space="preserve">Pytanie 19. </w:t>
      </w:r>
      <w:r w:rsidRPr="00A94CD9">
        <w:rPr>
          <w:color w:val="auto"/>
        </w:rPr>
        <w:t>Czy magazyn energii ma być wbudowany w bryle hali, czy zlokalizowany w odrębnym pomieszczeniu o wymaganej odporności ogniowej, czy w zewnętrznym kontenerze technicznym? Lokalizacja wpływa na rozwiązania konstrukcyjne, układ stref pożarowych i dobór instalacji bezpieczeństwa.</w:t>
      </w:r>
    </w:p>
    <w:p w14:paraId="14D3A385" w14:textId="23B941B7" w:rsidR="00F065DE" w:rsidRPr="00A94CD9" w:rsidRDefault="00F065DE" w:rsidP="00A94CD9">
      <w:pPr>
        <w:spacing w:after="92" w:line="293" w:lineRule="auto"/>
        <w:ind w:left="562" w:right="-3" w:hanging="10"/>
        <w:rPr>
          <w:b/>
          <w:bCs/>
          <w:color w:val="auto"/>
        </w:rPr>
      </w:pPr>
      <w:r w:rsidRPr="00A94CD9">
        <w:rPr>
          <w:b/>
          <w:bCs/>
          <w:color w:val="auto"/>
        </w:rPr>
        <w:t xml:space="preserve">Odp. Decyzja Zamawiającego wg. </w:t>
      </w:r>
      <w:r w:rsidR="00E365F3" w:rsidRPr="00A94CD9">
        <w:rPr>
          <w:b/>
          <w:bCs/>
          <w:color w:val="auto"/>
        </w:rPr>
        <w:t>p</w:t>
      </w:r>
      <w:r w:rsidRPr="00A94CD9">
        <w:rPr>
          <w:b/>
          <w:bCs/>
          <w:color w:val="auto"/>
        </w:rPr>
        <w:t>ropozycji projektanta na etapie realizacji projektu</w:t>
      </w:r>
    </w:p>
    <w:p w14:paraId="7E4E4F47" w14:textId="51D28FB4" w:rsidR="00D907A2" w:rsidRPr="00A94CD9" w:rsidRDefault="00000000" w:rsidP="00D4424A">
      <w:pPr>
        <w:ind w:left="562" w:right="0"/>
        <w:rPr>
          <w:color w:val="auto"/>
        </w:rPr>
      </w:pPr>
      <w:r w:rsidRPr="00A94CD9">
        <w:rPr>
          <w:b/>
          <w:color w:val="auto"/>
        </w:rPr>
        <w:t xml:space="preserve">Pytanie 20. </w:t>
      </w:r>
      <w:r w:rsidRPr="00A94CD9">
        <w:rPr>
          <w:color w:val="auto"/>
        </w:rPr>
        <w:t xml:space="preserve">Stacja ładowania wózków widłowych: czy ma to być pojedyncze stanowisko czy układ wielostanowiskowy? Jaka jest oczekiwana moc ładowania (ładowanie standardowe ok. 8h vs. szybkie 1–2h)? Czy zakłada się zlokalizowanie stanowiska w wydzielonej, wentylowanej strefie zgodnie z PNEN 1175? </w:t>
      </w:r>
    </w:p>
    <w:p w14:paraId="455576E9" w14:textId="77777777" w:rsidR="0042097E" w:rsidRPr="00A94CD9" w:rsidRDefault="00D907A2" w:rsidP="00A94CD9">
      <w:pPr>
        <w:spacing w:after="92" w:line="293" w:lineRule="auto"/>
        <w:ind w:left="562" w:right="-3" w:hanging="10"/>
        <w:rPr>
          <w:b/>
          <w:bCs/>
          <w:color w:val="auto"/>
        </w:rPr>
      </w:pPr>
      <w:r w:rsidRPr="00A94CD9">
        <w:rPr>
          <w:b/>
          <w:bCs/>
          <w:color w:val="auto"/>
        </w:rPr>
        <w:t xml:space="preserve">Odp. </w:t>
      </w:r>
    </w:p>
    <w:p w14:paraId="055DA703" w14:textId="1B0BF1C6" w:rsidR="0042097E" w:rsidRPr="00A94CD9" w:rsidRDefault="0042097E" w:rsidP="00A94CD9">
      <w:pPr>
        <w:spacing w:after="92" w:line="293" w:lineRule="auto"/>
        <w:ind w:left="562" w:right="-3" w:hanging="10"/>
        <w:rPr>
          <w:b/>
          <w:bCs/>
          <w:color w:val="auto"/>
        </w:rPr>
      </w:pPr>
      <w:r w:rsidRPr="00A94CD9">
        <w:rPr>
          <w:b/>
          <w:bCs/>
          <w:color w:val="auto"/>
        </w:rPr>
        <w:t>Ad1. Stanowisko pojedyncze.</w:t>
      </w:r>
    </w:p>
    <w:p w14:paraId="5ED92844" w14:textId="008F786F" w:rsidR="00D907A2" w:rsidRPr="00A94CD9" w:rsidRDefault="0042097E" w:rsidP="00A94CD9">
      <w:pPr>
        <w:spacing w:after="92" w:line="293" w:lineRule="auto"/>
        <w:ind w:left="562" w:right="-3" w:hanging="10"/>
        <w:rPr>
          <w:b/>
          <w:bCs/>
          <w:color w:val="auto"/>
        </w:rPr>
      </w:pPr>
      <w:r w:rsidRPr="00A94CD9">
        <w:rPr>
          <w:b/>
          <w:bCs/>
          <w:color w:val="auto"/>
        </w:rPr>
        <w:t xml:space="preserve">Ad2. </w:t>
      </w:r>
      <w:r w:rsidR="00D4424A" w:rsidRPr="00A94CD9">
        <w:rPr>
          <w:b/>
          <w:bCs/>
          <w:color w:val="auto"/>
        </w:rPr>
        <w:t>Parametry akumulatora wózka widłowego 80V/175 Ah, prostownik zewnętrzny 80V/65A</w:t>
      </w:r>
    </w:p>
    <w:p w14:paraId="2F934294" w14:textId="77777777" w:rsidR="002B3C07" w:rsidRPr="00A94CD9" w:rsidRDefault="00000000">
      <w:pPr>
        <w:spacing w:after="95"/>
        <w:ind w:left="562" w:right="0"/>
        <w:rPr>
          <w:color w:val="auto"/>
        </w:rPr>
      </w:pPr>
      <w:r w:rsidRPr="00A94CD9">
        <w:rPr>
          <w:b/>
          <w:bCs/>
          <w:color w:val="auto"/>
        </w:rPr>
        <w:t>Pytanie 21.</w:t>
      </w:r>
      <w:r w:rsidRPr="00A94CD9">
        <w:rPr>
          <w:color w:val="auto"/>
        </w:rPr>
        <w:t xml:space="preserve"> Czy zakres dokumentacji projektowej obejmuje projekt przyłącza cieplnego, czy też ogranicza się do projektu instalacji wewnętrznej po stronie obiektu, z założeniem, że przyłącze wykona przyszły operator sieci ciepłowniczej (Tauron Ciepło / PEC) na podstawie odrębnej umowy? </w:t>
      </w:r>
    </w:p>
    <w:p w14:paraId="6C2495C5" w14:textId="135891D7" w:rsidR="0042097E" w:rsidRPr="00A94CD9" w:rsidRDefault="00D907A2" w:rsidP="00A94CD9">
      <w:pPr>
        <w:spacing w:after="92" w:line="293" w:lineRule="auto"/>
        <w:ind w:left="562" w:right="-3" w:hanging="10"/>
        <w:rPr>
          <w:b/>
          <w:bCs/>
          <w:color w:val="auto"/>
        </w:rPr>
      </w:pPr>
      <w:r w:rsidRPr="00A94CD9">
        <w:rPr>
          <w:b/>
          <w:bCs/>
          <w:color w:val="auto"/>
        </w:rPr>
        <w:lastRenderedPageBreak/>
        <w:t xml:space="preserve">Odp. Rozwiązanie systemu ogrzewania budynków </w:t>
      </w:r>
      <w:r w:rsidR="00E365F3" w:rsidRPr="00A94CD9">
        <w:rPr>
          <w:b/>
          <w:bCs/>
          <w:color w:val="auto"/>
        </w:rPr>
        <w:t xml:space="preserve">powinno zostać zaproponowane przez projektanta do akceptacji zamawiającego </w:t>
      </w:r>
      <w:r w:rsidRPr="00A94CD9">
        <w:rPr>
          <w:b/>
          <w:bCs/>
          <w:color w:val="auto"/>
        </w:rPr>
        <w:t xml:space="preserve">w ramach </w:t>
      </w:r>
      <w:r w:rsidR="00E365F3" w:rsidRPr="00A94CD9">
        <w:rPr>
          <w:b/>
          <w:bCs/>
          <w:color w:val="auto"/>
        </w:rPr>
        <w:t>opracowania</w:t>
      </w:r>
      <w:r w:rsidRPr="00A94CD9">
        <w:rPr>
          <w:b/>
          <w:bCs/>
          <w:color w:val="auto"/>
        </w:rPr>
        <w:t>.</w:t>
      </w:r>
    </w:p>
    <w:p w14:paraId="7A55C0E2" w14:textId="77777777" w:rsidR="002B3C07" w:rsidRPr="00A94CD9" w:rsidRDefault="00000000">
      <w:pPr>
        <w:ind w:left="562" w:right="0"/>
        <w:rPr>
          <w:color w:val="auto"/>
        </w:rPr>
      </w:pPr>
      <w:r w:rsidRPr="00A94CD9">
        <w:rPr>
          <w:b/>
          <w:bCs/>
          <w:color w:val="auto"/>
        </w:rPr>
        <w:t>Pytanie 22.</w:t>
      </w:r>
      <w:r w:rsidRPr="00A94CD9">
        <w:rPr>
          <w:color w:val="auto"/>
        </w:rPr>
        <w:t xml:space="preserve"> Cysterny 5000 l na wodę pitną (Załącznik nr 4, Część 1) – czy są to: (a) cysterny samochodowe na podwoziu pojazdu mechanicznego, (b) przyczepy/naczepy na kołach do ciągnięcia przez pojazd, czy (c) zbiorniki stacjonarne ustawione na posadzce hali bez podwozia? Odpowiedź determinuje wymaganą wysokość bram garażowych, parametry komunikacji wewnętrznej oraz nośność posadzki. </w:t>
      </w:r>
    </w:p>
    <w:p w14:paraId="59C7167E" w14:textId="77777777" w:rsidR="00D4424A" w:rsidRPr="00A94CD9" w:rsidRDefault="00D907A2" w:rsidP="00A94CD9">
      <w:pPr>
        <w:spacing w:after="92" w:line="293" w:lineRule="auto"/>
        <w:ind w:left="562" w:right="-3" w:hanging="10"/>
        <w:rPr>
          <w:b/>
          <w:bCs/>
          <w:color w:val="auto"/>
        </w:rPr>
      </w:pPr>
      <w:r w:rsidRPr="00A94CD9">
        <w:rPr>
          <w:b/>
          <w:bCs/>
          <w:color w:val="auto"/>
        </w:rPr>
        <w:t>Odp.</w:t>
      </w:r>
    </w:p>
    <w:p w14:paraId="3EE2BEFF" w14:textId="77777777" w:rsidR="00D4424A" w:rsidRPr="00A94CD9" w:rsidRDefault="00D4424A" w:rsidP="00A94CD9">
      <w:pPr>
        <w:spacing w:after="92" w:line="293" w:lineRule="auto"/>
        <w:ind w:left="562" w:right="-3" w:hanging="10"/>
        <w:rPr>
          <w:b/>
          <w:bCs/>
          <w:color w:val="auto"/>
        </w:rPr>
      </w:pPr>
      <w:r w:rsidRPr="00A94CD9">
        <w:rPr>
          <w:b/>
          <w:bCs/>
          <w:color w:val="auto"/>
        </w:rPr>
        <w:t>Ad1. Cysterna na podwoziu pojazdu mechanicznego</w:t>
      </w:r>
    </w:p>
    <w:p w14:paraId="5F066964" w14:textId="7A775F14" w:rsidR="00D907A2" w:rsidRPr="00A94CD9" w:rsidRDefault="00D4424A" w:rsidP="00A94CD9">
      <w:pPr>
        <w:spacing w:after="92" w:line="293" w:lineRule="auto"/>
        <w:ind w:left="562" w:right="-3" w:hanging="10"/>
        <w:rPr>
          <w:b/>
          <w:bCs/>
          <w:color w:val="auto"/>
        </w:rPr>
      </w:pPr>
      <w:r w:rsidRPr="00A94CD9">
        <w:rPr>
          <w:b/>
          <w:bCs/>
          <w:color w:val="auto"/>
        </w:rPr>
        <w:t>Ad2. Przyczepa na kołach podpinana do ciągnika rolniczego</w:t>
      </w:r>
    </w:p>
    <w:p w14:paraId="7AF8CAB3" w14:textId="1030852C" w:rsidR="00D907A2" w:rsidRPr="00A94CD9" w:rsidRDefault="00000000" w:rsidP="00D4424A">
      <w:pPr>
        <w:ind w:left="562" w:right="0"/>
        <w:rPr>
          <w:color w:val="auto"/>
        </w:rPr>
      </w:pPr>
      <w:r w:rsidRPr="00A94CD9">
        <w:rPr>
          <w:b/>
          <w:bCs/>
          <w:color w:val="auto"/>
        </w:rPr>
        <w:t>Pytanie 23.</w:t>
      </w:r>
      <w:r w:rsidRPr="00A94CD9">
        <w:rPr>
          <w:color w:val="auto"/>
        </w:rPr>
        <w:t xml:space="preserve"> Wózek widłowy elektryczny (Załącznik nr 4, Część 1) – jaki typ wózka jest planowany (czołowy, paletowy, czterokierunkowy, wysokiego składowania VNA)? Parametr wpływa na wymaganą szerokość korytarzy roboczych między regałami paletowymi (przy regałach o głębokości 1,1 m i długości 5,18 m), wysokość obiektu oraz dobór posadzki. </w:t>
      </w:r>
    </w:p>
    <w:p w14:paraId="51ED8F0A" w14:textId="50878D7B" w:rsidR="00D907A2" w:rsidRPr="00A94CD9" w:rsidRDefault="00D907A2" w:rsidP="00A94CD9">
      <w:pPr>
        <w:spacing w:after="92" w:line="293" w:lineRule="auto"/>
        <w:ind w:left="562" w:right="-3" w:hanging="10"/>
        <w:rPr>
          <w:b/>
          <w:bCs/>
          <w:color w:val="auto"/>
        </w:rPr>
      </w:pPr>
      <w:r w:rsidRPr="00A94CD9">
        <w:rPr>
          <w:b/>
          <w:bCs/>
          <w:color w:val="auto"/>
        </w:rPr>
        <w:t xml:space="preserve">Odp. </w:t>
      </w:r>
      <w:r w:rsidR="00D4424A" w:rsidRPr="00A94CD9">
        <w:rPr>
          <w:b/>
          <w:bCs/>
          <w:color w:val="auto"/>
        </w:rPr>
        <w:t>Wózek widłowy czołowy z maksymalną wysokością wysuniętego masztu 4500 mm.</w:t>
      </w:r>
    </w:p>
    <w:p w14:paraId="0D579A61" w14:textId="77777777" w:rsidR="002B3C07" w:rsidRPr="00A94CD9" w:rsidRDefault="00000000">
      <w:pPr>
        <w:ind w:left="562" w:right="0"/>
        <w:rPr>
          <w:color w:val="auto"/>
        </w:rPr>
      </w:pPr>
      <w:r w:rsidRPr="00A94CD9">
        <w:rPr>
          <w:b/>
          <w:bCs/>
          <w:color w:val="auto"/>
        </w:rPr>
        <w:t>Pytanie 24</w:t>
      </w:r>
      <w:r w:rsidRPr="00A94CD9">
        <w:rPr>
          <w:color w:val="auto"/>
        </w:rPr>
        <w:t xml:space="preserve">. Czy w zakres dokumentacji wchodzą również: (a) instalacja sygnalizacji pożarowej (SSP), (b) stałe urządzenia gaśnicze, (c) instalacja oddymiania, (d) instalacja antywłamaniowa/SKD/CCTV? </w:t>
      </w:r>
    </w:p>
    <w:p w14:paraId="32FF2E4C" w14:textId="68483394" w:rsidR="00D4424A" w:rsidRPr="00A94CD9" w:rsidRDefault="00000000" w:rsidP="00D4424A">
      <w:pPr>
        <w:ind w:left="567" w:right="0" w:firstLine="0"/>
        <w:rPr>
          <w:color w:val="auto"/>
        </w:rPr>
      </w:pPr>
      <w:r w:rsidRPr="00A94CD9">
        <w:rPr>
          <w:color w:val="auto"/>
        </w:rPr>
        <w:t>Wymagania te nie zostały wprost wymienione w zapytaniu, jednak z uwagi na potencjalną kwalifikację obiektu do kategorii zagrożenia ludzi i charakter magazynowanych zasobów – mogą wynikać z opinii rzeczoznawcy ds. ppoż.</w:t>
      </w:r>
    </w:p>
    <w:p w14:paraId="43FD83EC" w14:textId="774FCC59" w:rsidR="002C40C2" w:rsidRPr="00A94CD9" w:rsidRDefault="00D4424A" w:rsidP="00A94CD9">
      <w:pPr>
        <w:spacing w:after="92" w:line="293" w:lineRule="auto"/>
        <w:ind w:left="562" w:right="-3" w:hanging="10"/>
        <w:rPr>
          <w:b/>
          <w:bCs/>
          <w:color w:val="auto"/>
        </w:rPr>
      </w:pPr>
      <w:r w:rsidRPr="00A94CD9">
        <w:rPr>
          <w:b/>
          <w:bCs/>
          <w:color w:val="auto"/>
        </w:rPr>
        <w:t xml:space="preserve">Odp. </w:t>
      </w:r>
      <w:r w:rsidR="00E365F3" w:rsidRPr="00A94CD9">
        <w:rPr>
          <w:b/>
          <w:bCs/>
          <w:color w:val="auto"/>
        </w:rPr>
        <w:t xml:space="preserve">Rozwiązanie powinno zostać zaproponowane przez projektanta do akceptacji zamawiającego w ramach opracowania zgodnie </w:t>
      </w:r>
      <w:r w:rsidRPr="00A94CD9">
        <w:rPr>
          <w:b/>
          <w:bCs/>
          <w:color w:val="auto"/>
        </w:rPr>
        <w:t>z opinią rzeczoznawcy ds. ppoż.</w:t>
      </w:r>
    </w:p>
    <w:p w14:paraId="743155B6" w14:textId="380AC8E0" w:rsidR="002C40C2" w:rsidRPr="00A94CD9" w:rsidRDefault="002C40C2" w:rsidP="002C40C2">
      <w:pPr>
        <w:ind w:right="0"/>
        <w:rPr>
          <w:color w:val="auto"/>
        </w:rPr>
      </w:pPr>
      <w:r w:rsidRPr="00A94CD9">
        <w:rPr>
          <w:b/>
          <w:bCs/>
          <w:color w:val="auto"/>
        </w:rPr>
        <w:t>Pytanie 25.</w:t>
      </w:r>
      <w:r w:rsidRPr="00A94CD9">
        <w:rPr>
          <w:color w:val="auto"/>
        </w:rPr>
        <w:t xml:space="preserve"> Termin wykonania zadania 12 tygodni w podanym zakresie i ze szczególna starannością jest niemożliwy. Po przeanalizowaniu zakresu opracowania zdecydowanie sugerujemy aby minimalnie termin wykonania wynosił co najmniej  20 tygodni. </w:t>
      </w:r>
    </w:p>
    <w:p w14:paraId="5E38D27C" w14:textId="7C19658F" w:rsidR="002C40C2" w:rsidRPr="00A94CD9" w:rsidRDefault="002C40C2" w:rsidP="00A94CD9">
      <w:pPr>
        <w:spacing w:after="92" w:line="293" w:lineRule="auto"/>
        <w:ind w:left="562" w:right="-3" w:hanging="10"/>
        <w:rPr>
          <w:b/>
          <w:bCs/>
          <w:color w:val="auto"/>
        </w:rPr>
      </w:pPr>
      <w:r w:rsidRPr="00A94CD9">
        <w:rPr>
          <w:b/>
          <w:bCs/>
          <w:color w:val="auto"/>
        </w:rPr>
        <w:t>Odp. Brak zgody.</w:t>
      </w:r>
    </w:p>
    <w:p w14:paraId="23B21E2E" w14:textId="1ECBE43B" w:rsidR="002C40C2" w:rsidRPr="00A94CD9" w:rsidRDefault="002C40C2" w:rsidP="002C40C2">
      <w:pPr>
        <w:ind w:right="0"/>
        <w:rPr>
          <w:color w:val="auto"/>
        </w:rPr>
      </w:pPr>
      <w:r w:rsidRPr="00A94CD9">
        <w:rPr>
          <w:b/>
          <w:bCs/>
          <w:color w:val="auto"/>
        </w:rPr>
        <w:t>Pytanie 26.</w:t>
      </w:r>
      <w:r w:rsidRPr="00A94CD9">
        <w:rPr>
          <w:color w:val="auto"/>
        </w:rPr>
        <w:t xml:space="preserve"> Na jakiej podstawie Zamawiający wymaga uzgodnienia przez rzeczoznawcę sanepid. </w:t>
      </w:r>
    </w:p>
    <w:p w14:paraId="6D2EE817" w14:textId="3CE1CF73" w:rsidR="002C40C2" w:rsidRPr="00A94CD9" w:rsidRDefault="002C40C2" w:rsidP="00A94CD9">
      <w:pPr>
        <w:spacing w:after="92" w:line="293" w:lineRule="auto"/>
        <w:ind w:left="562" w:right="-3" w:hanging="10"/>
        <w:rPr>
          <w:b/>
          <w:bCs/>
          <w:color w:val="auto"/>
        </w:rPr>
      </w:pPr>
      <w:r w:rsidRPr="00A94CD9">
        <w:rPr>
          <w:b/>
          <w:bCs/>
          <w:color w:val="auto"/>
        </w:rPr>
        <w:t>Odp. O konieczności uzgodnienia dokumentacji przez rzeczoznawcę do spraw sanitarnohigienicznych decyduje projektant, mając na uwadze przeznaczenie hal magazynowych.</w:t>
      </w:r>
    </w:p>
    <w:sectPr w:rsidR="002C40C2" w:rsidRPr="00A94CD9" w:rsidSect="002B51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0" w:bottom="1438" w:left="1133" w:header="758" w:footer="69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1D275" w14:textId="77777777" w:rsidR="00B07F64" w:rsidRDefault="00B07F64">
      <w:pPr>
        <w:spacing w:after="0" w:line="240" w:lineRule="auto"/>
      </w:pPr>
      <w:r>
        <w:separator/>
      </w:r>
    </w:p>
  </w:endnote>
  <w:endnote w:type="continuationSeparator" w:id="0">
    <w:p w14:paraId="7755E324" w14:textId="77777777" w:rsidR="00B07F64" w:rsidRDefault="00B07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632FE" w14:textId="77777777" w:rsidR="002B3C07" w:rsidRDefault="00000000">
    <w:pPr>
      <w:spacing w:after="0" w:line="259" w:lineRule="auto"/>
      <w:ind w:left="0" w:right="5" w:firstLine="0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4A19D53" wp14:editId="271D729D">
              <wp:simplePos x="0" y="0"/>
              <wp:positionH relativeFrom="page">
                <wp:posOffset>701040</wp:posOffset>
              </wp:positionH>
              <wp:positionV relativeFrom="page">
                <wp:posOffset>10059923</wp:posOffset>
              </wp:positionV>
              <wp:extent cx="6158230" cy="9144"/>
              <wp:effectExtent l="0" t="0" r="0" b="0"/>
              <wp:wrapSquare wrapText="bothSides"/>
              <wp:docPr id="10567" name="Group 105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58230" cy="9144"/>
                        <a:chOff x="0" y="0"/>
                        <a:chExt cx="6158230" cy="9144"/>
                      </a:xfrm>
                    </wpg:grpSpPr>
                    <wps:wsp>
                      <wps:cNvPr id="10841" name="Shape 10841"/>
                      <wps:cNvSpPr/>
                      <wps:spPr>
                        <a:xfrm>
                          <a:off x="0" y="0"/>
                          <a:ext cx="615823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8230" h="9144">
                              <a:moveTo>
                                <a:pt x="0" y="0"/>
                              </a:moveTo>
                              <a:lnTo>
                                <a:pt x="6158230" y="0"/>
                              </a:lnTo>
                              <a:lnTo>
                                <a:pt x="615823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E74B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567" style="width:484.9pt;height:0.720032pt;position:absolute;mso-position-horizontal-relative:page;mso-position-horizontal:absolute;margin-left:55.2pt;mso-position-vertical-relative:page;margin-top:792.12pt;" coordsize="61582,91">
              <v:shape id="Shape 10842" style="position:absolute;width:61582;height:91;left:0;top:0;" coordsize="6158230,9144" path="m0,0l6158230,0l6158230,9144l0,9144l0,0">
                <v:stroke weight="0pt" endcap="flat" joinstyle="miter" miterlimit="10" on="false" color="#000000" opacity="0"/>
                <v:fill on="true" color="#2e74b5"/>
              </v:shape>
              <w10:wrap type="square"/>
            </v:group>
          </w:pict>
        </mc:Fallback>
      </mc:AlternateContent>
    </w:r>
    <w:r>
      <w:rPr>
        <w:color w:val="595959"/>
        <w:sz w:val="16"/>
      </w:rPr>
      <w:t xml:space="preserve">BP METAL PROJEKT Sp. z o.o.   |   NIP 679-329-08-97   |   KRS 0001087153   |   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595959"/>
        <w:sz w:val="16"/>
      </w:rPr>
      <w:t>1</w:t>
    </w:r>
    <w:r>
      <w:rPr>
        <w:color w:val="595959"/>
        <w:sz w:val="16"/>
      </w:rPr>
      <w:fldChar w:fldCharType="end"/>
    </w:r>
    <w:r>
      <w:rPr>
        <w:color w:val="595959"/>
        <w:sz w:val="16"/>
      </w:rPr>
      <w:t xml:space="preserve"> z </w:t>
    </w:r>
    <w:fldSimple w:instr=" NUMPAGES   \* MERGEFORMAT ">
      <w:r w:rsidR="002B3C07">
        <w:rPr>
          <w:color w:val="595959"/>
          <w:sz w:val="16"/>
        </w:rPr>
        <w:t>8</w:t>
      </w:r>
    </w:fldSimple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F2FE8" w14:textId="68523E8B" w:rsidR="002B3C07" w:rsidRDefault="00000000">
    <w:pPr>
      <w:spacing w:after="0" w:line="259" w:lineRule="auto"/>
      <w:ind w:left="0" w:right="5" w:firstLine="0"/>
      <w:jc w:val="cen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7409E" w14:textId="77777777" w:rsidR="002B3C07" w:rsidRDefault="00000000">
    <w:pPr>
      <w:spacing w:after="0" w:line="259" w:lineRule="auto"/>
      <w:ind w:left="0" w:right="5" w:firstLine="0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1BC8021" wp14:editId="778C47C7">
              <wp:simplePos x="0" y="0"/>
              <wp:positionH relativeFrom="page">
                <wp:posOffset>701040</wp:posOffset>
              </wp:positionH>
              <wp:positionV relativeFrom="page">
                <wp:posOffset>10059923</wp:posOffset>
              </wp:positionV>
              <wp:extent cx="6158230" cy="9144"/>
              <wp:effectExtent l="0" t="0" r="0" b="0"/>
              <wp:wrapSquare wrapText="bothSides"/>
              <wp:docPr id="10497" name="Group 1049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58230" cy="9144"/>
                        <a:chOff x="0" y="0"/>
                        <a:chExt cx="6158230" cy="9144"/>
                      </a:xfrm>
                    </wpg:grpSpPr>
                    <wps:wsp>
                      <wps:cNvPr id="10837" name="Shape 10837"/>
                      <wps:cNvSpPr/>
                      <wps:spPr>
                        <a:xfrm>
                          <a:off x="0" y="0"/>
                          <a:ext cx="615823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8230" h="9144">
                              <a:moveTo>
                                <a:pt x="0" y="0"/>
                              </a:moveTo>
                              <a:lnTo>
                                <a:pt x="6158230" y="0"/>
                              </a:lnTo>
                              <a:lnTo>
                                <a:pt x="615823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E74B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497" style="width:484.9pt;height:0.720032pt;position:absolute;mso-position-horizontal-relative:page;mso-position-horizontal:absolute;margin-left:55.2pt;mso-position-vertical-relative:page;margin-top:792.12pt;" coordsize="61582,91">
              <v:shape id="Shape 10838" style="position:absolute;width:61582;height:91;left:0;top:0;" coordsize="6158230,9144" path="m0,0l6158230,0l6158230,9144l0,9144l0,0">
                <v:stroke weight="0pt" endcap="flat" joinstyle="miter" miterlimit="10" on="false" color="#000000" opacity="0"/>
                <v:fill on="true" color="#2e74b5"/>
              </v:shape>
              <w10:wrap type="square"/>
            </v:group>
          </w:pict>
        </mc:Fallback>
      </mc:AlternateContent>
    </w:r>
    <w:r>
      <w:rPr>
        <w:color w:val="595959"/>
        <w:sz w:val="16"/>
      </w:rPr>
      <w:t xml:space="preserve">BP METAL PROJEKT Sp. z o.o.   |   NIP 679-329-08-97   |   KRS 0001087153   |   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595959"/>
        <w:sz w:val="16"/>
      </w:rPr>
      <w:t>1</w:t>
    </w:r>
    <w:r>
      <w:rPr>
        <w:color w:val="595959"/>
        <w:sz w:val="16"/>
      </w:rPr>
      <w:fldChar w:fldCharType="end"/>
    </w:r>
    <w:r>
      <w:rPr>
        <w:color w:val="595959"/>
        <w:sz w:val="16"/>
      </w:rPr>
      <w:t xml:space="preserve"> z </w:t>
    </w:r>
    <w:fldSimple w:instr=" NUMPAGES   \* MERGEFORMAT ">
      <w:r w:rsidR="002B3C07">
        <w:rPr>
          <w:color w:val="595959"/>
          <w:sz w:val="16"/>
        </w:rPr>
        <w:t>8</w:t>
      </w:r>
    </w:fldSimple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CF963" w14:textId="77777777" w:rsidR="00B07F64" w:rsidRDefault="00B07F64">
      <w:pPr>
        <w:spacing w:after="0" w:line="240" w:lineRule="auto"/>
      </w:pPr>
      <w:r>
        <w:separator/>
      </w:r>
    </w:p>
  </w:footnote>
  <w:footnote w:type="continuationSeparator" w:id="0">
    <w:p w14:paraId="2B3A189D" w14:textId="77777777" w:rsidR="00B07F64" w:rsidRDefault="00B07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2FAF7" w14:textId="77777777" w:rsidR="002B3C07" w:rsidRDefault="00000000">
    <w:pPr>
      <w:tabs>
        <w:tab w:val="right" w:pos="9643"/>
      </w:tabs>
      <w:spacing w:after="0" w:line="259" w:lineRule="auto"/>
      <w:ind w:left="0" w:right="0" w:firstLine="0"/>
      <w:jc w:val="left"/>
    </w:pPr>
    <w:r>
      <w:rPr>
        <w:b/>
        <w:color w:val="1F4E79"/>
      </w:rPr>
      <w:t>BP METAL PROJEKT Sp. z o.o.</w:t>
    </w:r>
    <w:r>
      <w:t xml:space="preserve"> </w:t>
    </w:r>
    <w:r>
      <w:tab/>
    </w:r>
    <w:r>
      <w:rPr>
        <w:color w:val="595959"/>
        <w:vertAlign w:val="superscript"/>
      </w:rPr>
      <w:t>Znak sprawy:</w:t>
    </w:r>
  </w:p>
  <w:p w14:paraId="36F28144" w14:textId="77777777" w:rsidR="002B3C07" w:rsidRDefault="00000000">
    <w:pPr>
      <w:tabs>
        <w:tab w:val="right" w:pos="9643"/>
      </w:tabs>
      <w:spacing w:after="0" w:line="259" w:lineRule="auto"/>
      <w:ind w:left="0" w:right="0" w:firstLine="0"/>
      <w:jc w:val="left"/>
    </w:pPr>
    <w:r>
      <w:rPr>
        <w:i/>
        <w:color w:val="2E74B5"/>
        <w:sz w:val="16"/>
      </w:rPr>
      <w:t>Konstrukcje stalowe • Instalacje przemysłowe</w:t>
    </w:r>
    <w:r>
      <w:t xml:space="preserve"> </w:t>
    </w:r>
    <w:r>
      <w:tab/>
    </w:r>
    <w:r>
      <w:rPr>
        <w:b/>
        <w:color w:val="1F4E79"/>
        <w:sz w:val="18"/>
      </w:rPr>
      <w:t>WPYT/BPMP/2026/05/19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11C25" w14:textId="056379FA" w:rsidR="002B3C07" w:rsidRDefault="002B3C07">
    <w:pPr>
      <w:tabs>
        <w:tab w:val="right" w:pos="9643"/>
      </w:tabs>
      <w:spacing w:after="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72129" w14:textId="77777777" w:rsidR="002B3C07" w:rsidRDefault="00000000">
    <w:pPr>
      <w:tabs>
        <w:tab w:val="right" w:pos="9643"/>
      </w:tabs>
      <w:spacing w:after="0" w:line="259" w:lineRule="auto"/>
      <w:ind w:left="0" w:right="0" w:firstLine="0"/>
      <w:jc w:val="left"/>
    </w:pPr>
    <w:r>
      <w:rPr>
        <w:b/>
        <w:color w:val="1F4E79"/>
      </w:rPr>
      <w:t>BP METAL PROJEKT Sp. z o.o.</w:t>
    </w:r>
    <w:r>
      <w:t xml:space="preserve"> </w:t>
    </w:r>
    <w:r>
      <w:tab/>
    </w:r>
    <w:r>
      <w:rPr>
        <w:color w:val="595959"/>
        <w:vertAlign w:val="superscript"/>
      </w:rPr>
      <w:t>Znak sprawy:</w:t>
    </w:r>
  </w:p>
  <w:p w14:paraId="3D9005ED" w14:textId="77777777" w:rsidR="002B3C07" w:rsidRDefault="00000000">
    <w:pPr>
      <w:tabs>
        <w:tab w:val="right" w:pos="9643"/>
      </w:tabs>
      <w:spacing w:after="0" w:line="259" w:lineRule="auto"/>
      <w:ind w:left="0" w:right="0" w:firstLine="0"/>
      <w:jc w:val="left"/>
    </w:pPr>
    <w:r>
      <w:rPr>
        <w:i/>
        <w:color w:val="2E74B5"/>
        <w:sz w:val="16"/>
      </w:rPr>
      <w:t>Konstrukcje stalowe • Instalacje przemysłowe</w:t>
    </w:r>
    <w:r>
      <w:t xml:space="preserve"> </w:t>
    </w:r>
    <w:r>
      <w:tab/>
    </w:r>
    <w:r>
      <w:rPr>
        <w:b/>
        <w:color w:val="1F4E79"/>
        <w:sz w:val="18"/>
      </w:rPr>
      <w:t>WPYT/BPMP/2026/05/19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27E4E"/>
    <w:multiLevelType w:val="multilevel"/>
    <w:tmpl w:val="ABC40F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088120A"/>
    <w:multiLevelType w:val="hybridMultilevel"/>
    <w:tmpl w:val="0B644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15C64D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F07131"/>
    <w:multiLevelType w:val="hybridMultilevel"/>
    <w:tmpl w:val="68B6AF90"/>
    <w:lvl w:ilvl="0" w:tplc="BB0C578E">
      <w:start w:val="1"/>
      <w:numFmt w:val="bullet"/>
      <w:lvlText w:val="•"/>
      <w:lvlJc w:val="left"/>
      <w:pPr>
        <w:ind w:left="362"/>
      </w:pPr>
      <w:rPr>
        <w:rFonts w:ascii="Calibri" w:eastAsia="Calibri" w:hAnsi="Calibri" w:cs="Calibri"/>
        <w:b w:val="0"/>
        <w:i w:val="0"/>
        <w:strike w:val="0"/>
        <w:dstrike w:val="0"/>
        <w:color w:val="37562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CC2DCD4">
      <w:start w:val="1"/>
      <w:numFmt w:val="bullet"/>
      <w:lvlText w:val="o"/>
      <w:lvlJc w:val="left"/>
      <w:pPr>
        <w:ind w:left="1268"/>
      </w:pPr>
      <w:rPr>
        <w:rFonts w:ascii="Calibri" w:eastAsia="Calibri" w:hAnsi="Calibri" w:cs="Calibri"/>
        <w:b w:val="0"/>
        <w:i w:val="0"/>
        <w:strike w:val="0"/>
        <w:dstrike w:val="0"/>
        <w:color w:val="37562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90CB534">
      <w:start w:val="1"/>
      <w:numFmt w:val="bullet"/>
      <w:lvlText w:val="▪"/>
      <w:lvlJc w:val="left"/>
      <w:pPr>
        <w:ind w:left="1988"/>
      </w:pPr>
      <w:rPr>
        <w:rFonts w:ascii="Calibri" w:eastAsia="Calibri" w:hAnsi="Calibri" w:cs="Calibri"/>
        <w:b w:val="0"/>
        <w:i w:val="0"/>
        <w:strike w:val="0"/>
        <w:dstrike w:val="0"/>
        <w:color w:val="37562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0744E10">
      <w:start w:val="1"/>
      <w:numFmt w:val="bullet"/>
      <w:lvlText w:val="•"/>
      <w:lvlJc w:val="left"/>
      <w:pPr>
        <w:ind w:left="2708"/>
      </w:pPr>
      <w:rPr>
        <w:rFonts w:ascii="Calibri" w:eastAsia="Calibri" w:hAnsi="Calibri" w:cs="Calibri"/>
        <w:b w:val="0"/>
        <w:i w:val="0"/>
        <w:strike w:val="0"/>
        <w:dstrike w:val="0"/>
        <w:color w:val="37562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0C689EC">
      <w:start w:val="1"/>
      <w:numFmt w:val="bullet"/>
      <w:lvlText w:val="o"/>
      <w:lvlJc w:val="left"/>
      <w:pPr>
        <w:ind w:left="3428"/>
      </w:pPr>
      <w:rPr>
        <w:rFonts w:ascii="Calibri" w:eastAsia="Calibri" w:hAnsi="Calibri" w:cs="Calibri"/>
        <w:b w:val="0"/>
        <w:i w:val="0"/>
        <w:strike w:val="0"/>
        <w:dstrike w:val="0"/>
        <w:color w:val="37562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21AE04A">
      <w:start w:val="1"/>
      <w:numFmt w:val="bullet"/>
      <w:lvlText w:val="▪"/>
      <w:lvlJc w:val="left"/>
      <w:pPr>
        <w:ind w:left="4148"/>
      </w:pPr>
      <w:rPr>
        <w:rFonts w:ascii="Calibri" w:eastAsia="Calibri" w:hAnsi="Calibri" w:cs="Calibri"/>
        <w:b w:val="0"/>
        <w:i w:val="0"/>
        <w:strike w:val="0"/>
        <w:dstrike w:val="0"/>
        <w:color w:val="37562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5A9E86">
      <w:start w:val="1"/>
      <w:numFmt w:val="bullet"/>
      <w:lvlText w:val="•"/>
      <w:lvlJc w:val="left"/>
      <w:pPr>
        <w:ind w:left="4868"/>
      </w:pPr>
      <w:rPr>
        <w:rFonts w:ascii="Calibri" w:eastAsia="Calibri" w:hAnsi="Calibri" w:cs="Calibri"/>
        <w:b w:val="0"/>
        <w:i w:val="0"/>
        <w:strike w:val="0"/>
        <w:dstrike w:val="0"/>
        <w:color w:val="37562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DD29310">
      <w:start w:val="1"/>
      <w:numFmt w:val="bullet"/>
      <w:lvlText w:val="o"/>
      <w:lvlJc w:val="left"/>
      <w:pPr>
        <w:ind w:left="5588"/>
      </w:pPr>
      <w:rPr>
        <w:rFonts w:ascii="Calibri" w:eastAsia="Calibri" w:hAnsi="Calibri" w:cs="Calibri"/>
        <w:b w:val="0"/>
        <w:i w:val="0"/>
        <w:strike w:val="0"/>
        <w:dstrike w:val="0"/>
        <w:color w:val="37562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2F85B1A">
      <w:start w:val="1"/>
      <w:numFmt w:val="bullet"/>
      <w:lvlText w:val="▪"/>
      <w:lvlJc w:val="left"/>
      <w:pPr>
        <w:ind w:left="6308"/>
      </w:pPr>
      <w:rPr>
        <w:rFonts w:ascii="Calibri" w:eastAsia="Calibri" w:hAnsi="Calibri" w:cs="Calibri"/>
        <w:b w:val="0"/>
        <w:i w:val="0"/>
        <w:strike w:val="0"/>
        <w:dstrike w:val="0"/>
        <w:color w:val="37562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87734748">
    <w:abstractNumId w:val="2"/>
  </w:num>
  <w:num w:numId="2" w16cid:durableId="1282107156">
    <w:abstractNumId w:val="1"/>
  </w:num>
  <w:num w:numId="3" w16cid:durableId="1876966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C07"/>
    <w:rsid w:val="0015216F"/>
    <w:rsid w:val="002B3C07"/>
    <w:rsid w:val="002B5152"/>
    <w:rsid w:val="002C40C2"/>
    <w:rsid w:val="00344693"/>
    <w:rsid w:val="003954C4"/>
    <w:rsid w:val="0042097E"/>
    <w:rsid w:val="005A5730"/>
    <w:rsid w:val="005C147E"/>
    <w:rsid w:val="006655C5"/>
    <w:rsid w:val="006C77A0"/>
    <w:rsid w:val="006F326E"/>
    <w:rsid w:val="007345BB"/>
    <w:rsid w:val="00762F13"/>
    <w:rsid w:val="00863575"/>
    <w:rsid w:val="008878FB"/>
    <w:rsid w:val="00903D04"/>
    <w:rsid w:val="00972B15"/>
    <w:rsid w:val="00A23613"/>
    <w:rsid w:val="00A348CA"/>
    <w:rsid w:val="00A7026A"/>
    <w:rsid w:val="00A94CD9"/>
    <w:rsid w:val="00B07F64"/>
    <w:rsid w:val="00B23273"/>
    <w:rsid w:val="00D4424A"/>
    <w:rsid w:val="00D907A2"/>
    <w:rsid w:val="00E365F3"/>
    <w:rsid w:val="00E87C91"/>
    <w:rsid w:val="00EB026C"/>
    <w:rsid w:val="00F013EF"/>
    <w:rsid w:val="00F0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9443B"/>
  <w15:docId w15:val="{8A67B215-360D-4658-B17C-E3B6C46A4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9" w:line="299" w:lineRule="auto"/>
      <w:ind w:left="577" w:right="4" w:hanging="577"/>
      <w:jc w:val="both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right="12"/>
      <w:jc w:val="center"/>
      <w:outlineLvl w:val="0"/>
    </w:pPr>
    <w:rPr>
      <w:rFonts w:ascii="Calibri" w:eastAsia="Calibri" w:hAnsi="Calibri" w:cs="Calibri"/>
      <w:b/>
      <w:color w:val="1F4E79"/>
      <w:sz w:val="32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72" w:line="259" w:lineRule="auto"/>
      <w:ind w:left="10" w:hanging="10"/>
      <w:outlineLvl w:val="1"/>
    </w:pPr>
    <w:rPr>
      <w:rFonts w:ascii="Calibri" w:eastAsia="Calibri" w:hAnsi="Calibri" w:cs="Calibri"/>
      <w:b/>
      <w:color w:val="1F4E79"/>
      <w:sz w:val="28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152" w:line="259" w:lineRule="auto"/>
      <w:outlineLvl w:val="2"/>
    </w:pPr>
    <w:rPr>
      <w:rFonts w:ascii="Calibri" w:eastAsia="Calibri" w:hAnsi="Calibri" w:cs="Calibri"/>
      <w:b/>
      <w:color w:val="1F4E7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Pr>
      <w:rFonts w:ascii="Calibri" w:eastAsia="Calibri" w:hAnsi="Calibri" w:cs="Calibri"/>
      <w:b/>
      <w:color w:val="1F4E79"/>
      <w:sz w:val="24"/>
    </w:rPr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1F4E79"/>
      <w:sz w:val="28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1F4E79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863575"/>
    <w:pPr>
      <w:spacing w:after="160" w:line="259" w:lineRule="auto"/>
      <w:ind w:left="720" w:right="0" w:firstLine="0"/>
      <w:contextualSpacing/>
      <w:jc w:val="left"/>
    </w:pPr>
    <w:rPr>
      <w:rFonts w:cs="Times New Roman"/>
      <w:color w:val="auto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2632</Words>
  <Characters>15798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wyjaśnienie – ID.7013.9.2025 – tour II v2</vt:lpstr>
    </vt:vector>
  </TitlesOfParts>
  <Company/>
  <LinksUpToDate>false</LinksUpToDate>
  <CharactersWithSpaces>18394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wyjaśnienie – ID.7013.9.2025 – tour II v2</dc:title>
  <dc:subject/>
  <dc:creator>BP METAL PROJEKT Sp. z o.o.</dc:creator>
  <cp:keywords/>
  <cp:lastModifiedBy>nr568</cp:lastModifiedBy>
  <cp:revision>2</cp:revision>
  <dcterms:created xsi:type="dcterms:W3CDTF">2026-05-25T12:35:00Z</dcterms:created>
  <dcterms:modified xsi:type="dcterms:W3CDTF">2026-05-25T12:35:00Z</dcterms:modified>
</cp:coreProperties>
</file>