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A48C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XVIII/183/2020</w:t>
      </w:r>
      <w:r>
        <w:rPr>
          <w:b/>
          <w:caps/>
        </w:rPr>
        <w:br/>
        <w:t>Rady Powiatu Tarnogórskiego</w:t>
      </w:r>
    </w:p>
    <w:p w:rsidR="00A77B3E" w:rsidRDefault="002A48CA">
      <w:pPr>
        <w:spacing w:before="280" w:after="280"/>
        <w:jc w:val="center"/>
        <w:rPr>
          <w:b/>
          <w:caps/>
        </w:rPr>
      </w:pPr>
      <w:r>
        <w:t>z dnia 28 kwietnia 2020 r.</w:t>
      </w:r>
    </w:p>
    <w:p w:rsidR="00A77B3E" w:rsidRDefault="002A48CA">
      <w:pPr>
        <w:keepNext/>
        <w:spacing w:after="480"/>
        <w:jc w:val="center"/>
      </w:pPr>
      <w:r>
        <w:rPr>
          <w:b/>
        </w:rPr>
        <w:t>w sprawie zmiany Wieloletniej Prognozy Finansowej Powiatu Tarnogórskiego na lata 2020-2028</w:t>
      </w:r>
    </w:p>
    <w:p w:rsidR="00A77B3E" w:rsidRDefault="002A48C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226, art. 227, art. 228, art. 229, art. 230, art. 231, art. 232, </w:t>
      </w:r>
      <w:r>
        <w:t>art. 242 i art. 243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</w:t>
      </w:r>
      <w:r>
        <w:rPr>
          <w:color w:val="000000"/>
          <w:u w:color="000000"/>
        </w:rPr>
        <w:t>i samorządu terytorialnego (tekst jednolity: Dz. U. z 2015r. poz. 92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2A48C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2A48C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Załącznik nr 1 do uchwały nr XV/156/2019 Rady Powiatu Tarnogórskiego z dnia 17 grudnia 2019 roku w sprawie Wieloletniej Prognozy Finansowej Powia</w:t>
      </w:r>
      <w:r>
        <w:rPr>
          <w:color w:val="000000"/>
          <w:u w:color="000000"/>
        </w:rPr>
        <w:t>tu Tarnogórskiego na lata 2020-2028 otrzymuje brzmienie według załącznika nr 1 do niniejszej uchwały.</w:t>
      </w:r>
    </w:p>
    <w:p w:rsidR="00A77B3E" w:rsidRDefault="002A48C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2 do uchwały nr XV/156/2019 Rady Powiatu Tarnogórskiego z dnia 17 grudnia 2019 roku w sprawie Wieloletniej Prognozy Finansowej Powiatu T</w:t>
      </w:r>
      <w:r>
        <w:rPr>
          <w:color w:val="000000"/>
          <w:u w:color="000000"/>
        </w:rPr>
        <w:t>arnogórskiego na lata 2020-2028 otrzymuje brzmienie według załącznika nr 2 do niniejszej uchwały.</w:t>
      </w:r>
    </w:p>
    <w:p w:rsidR="00A77B3E" w:rsidRDefault="002A48C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Objaśnienia wartości Wieloletniej Prognozy Finansowej Powiatu Tarnogórskiego na lata 2020-2028 przyjęte w związku ze zmianami dokonanymi w budżecie Powia</w:t>
      </w:r>
      <w:r>
        <w:rPr>
          <w:color w:val="000000"/>
          <w:u w:color="000000"/>
        </w:rPr>
        <w:t>tu Tarnogórskiego stanowią załącznik nr 3 do niniejszej uchwały.</w:t>
      </w:r>
    </w:p>
    <w:p w:rsidR="00A77B3E" w:rsidRDefault="002A48C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2A48C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sposób zwyczajowo przyjęty.</w:t>
      </w:r>
    </w:p>
    <w:p w:rsidR="00A77B3E" w:rsidRDefault="002A48C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A48C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455C0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C02" w:rsidRDefault="00455C0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C02" w:rsidRDefault="002A48C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Przewodniczący Rady </w:t>
            </w:r>
            <w:r>
              <w:rPr>
                <w:color w:val="000000"/>
                <w:szCs w:val="22"/>
              </w:rPr>
              <w:t>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2A48CA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2A48CA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XVIII/183/2020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28 kwietnia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2A48CA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XVIII/183/2020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28 kwietnia 2020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2A48CA">
      <w:pPr>
        <w:keepNext/>
        <w:spacing w:before="120" w:after="120" w:line="360" w:lineRule="auto"/>
        <w:ind w:left="5339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3 do uchwały nr XVIII/183/2020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28 </w:t>
      </w:r>
      <w:r>
        <w:rPr>
          <w:rStyle w:val="Hipercze"/>
          <w:color w:val="000000"/>
          <w:u w:val="none" w:color="000000"/>
        </w:rPr>
        <w:t>kwietnia 2020 r.</w:t>
      </w:r>
    </w:p>
    <w:p w:rsidR="00A77B3E" w:rsidRDefault="002A48CA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wartości przyjętych w Wieloletniej Prognozie Finansowej Powiatu Tarnogórskiego na lata 2020 – 2028</w:t>
      </w:r>
    </w:p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prognozie i przedsięwzięciach wieloletnich mają na celu dostosowanie ich do zmian w budżecie dokon</w:t>
      </w:r>
      <w:r>
        <w:rPr>
          <w:rStyle w:val="Hipercze"/>
          <w:color w:val="000000"/>
          <w:u w:val="none" w:color="000000"/>
        </w:rPr>
        <w:t>anych w miesiącach luty-kwiecień. Zmianie, w stosunku do poprzedniej prognozy uległy, wszystkie oprócz rozchodów, podstawowe kategorie roku bieżącego, a także wartość dochodów i wydatków w latach 2021-2022. Korekty dla roku bieżącego przedstawiono w poniżs</w:t>
      </w:r>
      <w:r>
        <w:rPr>
          <w:rStyle w:val="Hipercze"/>
          <w:color w:val="000000"/>
          <w:u w:val="none" w:color="000000"/>
        </w:rPr>
        <w:t>zej tabeli.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3066"/>
        <w:gridCol w:w="2669"/>
        <w:gridCol w:w="2161"/>
        <w:gridCol w:w="1763"/>
      </w:tblGrid>
      <w:tr w:rsidR="00455C02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2A48C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2A48C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2A48C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Wartość WPF z poprzedniej prognozy z dnia 25.02.2020r.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2A48C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E" w:rsidRDefault="002A48CA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Różnica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190 614 645,00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191 328 969,00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714 324,00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204 420 153,00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205 196 667,00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776 514,00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t xml:space="preserve">Wynik </w:t>
            </w:r>
            <w:r>
              <w:t>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-13 805 508,00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-13 867 698,00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-62 190,00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16 709 508,00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16 771 698,00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62 190,00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2 904 000,00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455C0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6 924 729,00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7 281 072,00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B3E" w:rsidRDefault="002A48CA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356</w:t>
            </w:r>
            <w:r>
              <w:t> 343,00</w:t>
            </w:r>
          </w:p>
        </w:tc>
      </w:tr>
    </w:tbl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Jako przyczynę zaistniałych zmian po stronie dochodowej wskazać należy: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otrzymanie od Ministra Finansów tzw. drugiej wersji wskaźników po uchwaleniu budżetu państwa. Ujemnej korekcie uległa tu wielkość części oświatowej subwencji ogólnej. </w:t>
      </w:r>
      <w:r>
        <w:rPr>
          <w:rStyle w:val="Hipercze"/>
          <w:color w:val="000000"/>
          <w:u w:val="none" w:color="000000"/>
        </w:rPr>
        <w:t>Zrekompensowana ona została zmniejszonymi wydatkami przeznaczonymi na ewentualny zwrot nadmiernie pobranej subwencji oświatowej za lata 2014-2015;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zwiększenie planu dotacji otrzymanych od Wojewody celem dofinansowania zadań zleconych w gospodarce nieruc</w:t>
      </w:r>
      <w:r>
        <w:rPr>
          <w:rStyle w:val="Hipercze"/>
          <w:color w:val="000000"/>
          <w:u w:val="none" w:color="000000"/>
        </w:rPr>
        <w:t>homościami, straży pożarnej oraz Zespole ds. Orzekania o Niepełnosprawności;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otrzymanie dofinansowania z Miasta Tarnowskie Góry na remont zabytkowych rzeźb zlokalizowanych przy Zespole Szkół Artystyczno-Projektowych;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otrzymanie dofinansowania z budże</w:t>
      </w:r>
      <w:r>
        <w:rPr>
          <w:rStyle w:val="Hipercze"/>
          <w:color w:val="000000"/>
          <w:u w:val="none" w:color="000000"/>
        </w:rPr>
        <w:t>tu Górnośląsko-Zagłębiowskiej Metropolii na zakup specjalistycznego sprzętu medycznego;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otrzymanie wyższej niż zakładano kwoty z Funduszu Pracy na wynagrodzenia pracowników Powiatowego Urzędu Pracy;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 xml:space="preserve">wygenerowanie dodatkowych dochodów w Starostwie </w:t>
      </w:r>
      <w:r>
        <w:rPr>
          <w:rStyle w:val="Hipercze"/>
          <w:color w:val="000000"/>
          <w:u w:val="none" w:color="000000"/>
        </w:rPr>
        <w:t>Powiatowym oraz jednostkach podległych (dps-y).</w:t>
      </w:r>
    </w:p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wydatków były rezultatem: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zmian w planowanych dochodach, o których mowa powyżej;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zaangażowania przychodów:</w:t>
      </w:r>
    </w:p>
    <w:p w:rsidR="00A77B3E" w:rsidRDefault="002A48CA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 xml:space="preserve">celem dofinansowania projektów unijnych w oświacie, w związku z niepełną </w:t>
      </w:r>
      <w:r>
        <w:rPr>
          <w:rStyle w:val="Hipercze"/>
          <w:color w:val="000000"/>
          <w:u w:val="none" w:color="000000"/>
        </w:rPr>
        <w:t>realizacją wydatków w latach ubiegłych;</w:t>
      </w:r>
    </w:p>
    <w:p w:rsidR="00A77B3E" w:rsidRDefault="002A48CA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>celem sfinansowania dokumentacji projektowej dla zadania termomodernizacji budynków Zespołu Szkół Budowlano-Architektonicznych;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przeniesień pomiędzy poszczególnymi tytułami w grupie wydatków. Zabezpieczono międ</w:t>
      </w:r>
      <w:r>
        <w:rPr>
          <w:rStyle w:val="Hipercze"/>
          <w:color w:val="000000"/>
          <w:u w:val="none" w:color="000000"/>
        </w:rPr>
        <w:t>zy innymi środki na zwiększony odpis na ZFŚS, leasing samochodu na potrzeby Zarządu Dróg Powiatowych, roboty dodatkowe celem przebudowy sanitariatów w Zespole Szkół Technicznych i Ogólnokształcących oraz remont ogrodzenia przy Zespole Szkół Artystyczno-Pro</w:t>
      </w:r>
      <w:r>
        <w:rPr>
          <w:rStyle w:val="Hipercze"/>
          <w:color w:val="000000"/>
          <w:u w:val="none" w:color="000000"/>
        </w:rPr>
        <w:t>jektowych. Zaangażowano ponadto środki z rezerwy utworzonej na podstawie ustawy o zarządzaniu kryzysowym na zakup materiałów i usług związanych ze zwalczaniem epidemii koronawirusa.</w:t>
      </w:r>
    </w:p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t>W analizowanym okresie nie uległa zmianie wartość planowanych rozchodów ro</w:t>
      </w:r>
      <w:r>
        <w:rPr>
          <w:rStyle w:val="Hipercze"/>
          <w:color w:val="000000"/>
          <w:u w:val="none" w:color="000000"/>
        </w:rPr>
        <w:t>ku 2020. Co zaś się tyczy lat 2021-2022 zwiększono plan dochodów i wydatków majątkowych o wartość planowanej do otrzymania dotacji strukturalnej na modernizację warsztatów szkolnych w Zespole Szkół Gastronomiczno-Hotelarskich oraz budowę warsztatów szkolny</w:t>
      </w:r>
      <w:r>
        <w:rPr>
          <w:rStyle w:val="Hipercze"/>
          <w:color w:val="000000"/>
          <w:u w:val="none" w:color="000000"/>
        </w:rPr>
        <w:t>ch w Zespole Szkół Budowlano-Architektonicznych (łącznie o 850 tys. zł w roku 2021 i 3 400 tys. zł w roku 2022).Planuje się, iż w powyższych zadaniach dotacja strukturalna będzie stanowić do 85% wartości kosztorysowych przedsięwzięć. Jeśli zaś chodzi o poz</w:t>
      </w:r>
      <w:r>
        <w:rPr>
          <w:rStyle w:val="Hipercze"/>
          <w:color w:val="000000"/>
          <w:u w:val="none" w:color="000000"/>
        </w:rPr>
        <w:t>ostałą część wydatków majątkowych w obu zadaniach, finansowaną środkami własnymi, nie ma konieczności dokonania dodatkowych korekt w omawianych latach. Przy tworzeniu bowiem wieloletniej prognozy założono w latach przyszłych pewną rezerwę środków w segmenc</w:t>
      </w:r>
      <w:r>
        <w:rPr>
          <w:rStyle w:val="Hipercze"/>
          <w:color w:val="000000"/>
          <w:u w:val="none" w:color="000000"/>
        </w:rPr>
        <w:t>ie majątkowym na wypadek przystąpienia do realizacji nowych zadań, wzrostu wartości kosztorysowej, czy też możliwości aplikowania o dodatkowe środki zewnętrzne.</w:t>
      </w:r>
    </w:p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Dokonane zmiany pozytywnie wpłynęły na relacje ustawowe określone w art. 242 i 243 ustawy o fin</w:t>
      </w:r>
      <w:r>
        <w:rPr>
          <w:rStyle w:val="Hipercze"/>
          <w:color w:val="000000"/>
          <w:u w:val="none" w:color="000000"/>
        </w:rPr>
        <w:t>ansach publicznych. A to generalnie w związku  przeniesieniami środków z planu wydatków bieżących na majątkowe oraz sfinansowaniem nowych wydatków majątkowych ponadplanowo wygenerowanymi dochodami bieżącymi. Podkreślenia wymaga fakt, iż obie analizowane re</w:t>
      </w:r>
      <w:r>
        <w:rPr>
          <w:rStyle w:val="Hipercze"/>
          <w:color w:val="000000"/>
          <w:u w:val="none" w:color="000000"/>
        </w:rPr>
        <w:t>lacje spełnione są, zarówno w roku obecnym, jak też i w latach przyszłych, ze stosunkowo bezpieczną nadwyżką.</w:t>
      </w:r>
    </w:p>
    <w:p w:rsidR="00A77B3E" w:rsidRDefault="002A48CA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zaszły następujące zmiany: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wprowadzono do wykazu zadanie inwestycyjne pod nazwą „Modernizacj</w:t>
      </w:r>
      <w:r>
        <w:rPr>
          <w:rStyle w:val="Hipercze"/>
          <w:color w:val="000000"/>
          <w:u w:val="none" w:color="000000"/>
        </w:rPr>
        <w:t>a warsztatów szkolnych w Zespole Szkół Gastronomiczno-Hotelarskich” realizowane w latach 2021-2022 przez Wydział Inwestycji i Drogownictwa w łącznej kwocie 2 500 000,00 zł. Zadanie to, dofinansowane środkami strukturalnymi, ma na celu poprawę komfortu kszt</w:t>
      </w:r>
      <w:r>
        <w:rPr>
          <w:rStyle w:val="Hipercze"/>
          <w:color w:val="000000"/>
          <w:u w:val="none" w:color="000000"/>
        </w:rPr>
        <w:t>ałcenia i wyników nauczania dzięki wykorzystaniu bardziej nowoczesnych metod i technologii;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wprowadzono do wykazu zadanie inwestycyjne pod nazwą „Budowa warsztatów szkolnych w Zespole Szkół Budowlano-Architektonicznych” realizowane w latach 2021-2022 pr</w:t>
      </w:r>
      <w:r>
        <w:rPr>
          <w:rStyle w:val="Hipercze"/>
          <w:color w:val="000000"/>
          <w:u w:val="none" w:color="000000"/>
        </w:rPr>
        <w:t>zez Wydział Inwestycji i Drogownictwa w łącznej kwocie 2 500 000,00 zł. Zadanie to, dofinansowane środkami strukturalnymi, ma na celu poprawę komfortu kształcenia i wyników nauczania dzięki wykorzystaniu bardziej nowoczesnych metod i technologii;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wprowa</w:t>
      </w:r>
      <w:r>
        <w:rPr>
          <w:rStyle w:val="Hipercze"/>
          <w:color w:val="000000"/>
          <w:u w:val="none" w:color="000000"/>
        </w:rPr>
        <w:t>dzono do wykazu zadanie leasingu samochodu ciężarowego z wywrotką i hakiem na potrzeby Zarządu Dróg Powiatowych realizowane w latach 2020-2023 przez Wydział Inwestycji i Drogownictwa w łącznej kwocie 136 700,00 zł. Zadanie to ma na celu poprawę infrastrukt</w:t>
      </w:r>
      <w:r>
        <w:rPr>
          <w:rStyle w:val="Hipercze"/>
          <w:color w:val="000000"/>
          <w:u w:val="none" w:color="000000"/>
        </w:rPr>
        <w:t>ury drogowej i komfortu podróżowania;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zwiększono o kwotę 23 913,00 zł limit wydatków roku 2020 oraz łączną wartość zadania „Przebudowa pomieszczeń sanitarnych w Zespole Szkół Technicznych i Ogólnokształcących w Tarnowskich Górach” prowadzonego przez Wyd</w:t>
      </w:r>
      <w:r>
        <w:rPr>
          <w:rStyle w:val="Hipercze"/>
          <w:color w:val="000000"/>
          <w:u w:val="none" w:color="000000"/>
        </w:rPr>
        <w:t>ział Inwestycji i Drogownictwa, w związku z koniecznością realizacji robót dodatkowych;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zwiększono o kwotę 2 000,00 zł limit wydatków roku 2020, nie zmieniając jednakże łącznej wysokości zaangażowanych środków, dla zadania „Innowacyjny staż krokiem w le</w:t>
      </w:r>
      <w:r>
        <w:rPr>
          <w:rStyle w:val="Hipercze"/>
          <w:color w:val="000000"/>
          <w:u w:val="none" w:color="000000"/>
        </w:rPr>
        <w:t>pszą przyszłość” realizowanego przez Centrum Edukacji Ekonomiczno-Handlowej. Kwota ta stanowi wartość niewydatkowanych w roku 2019 środków;</w:t>
      </w:r>
    </w:p>
    <w:p w:rsidR="00A77B3E" w:rsidRDefault="002A48CA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zwiększono o kwotę 190,00 zł limit wydatków roku 2020, nie zmieniając jednakże łącznej wysokości zaangażowanych ś</w:t>
      </w:r>
      <w:r>
        <w:rPr>
          <w:rStyle w:val="Hipercze"/>
          <w:color w:val="000000"/>
          <w:u w:val="none" w:color="000000"/>
        </w:rPr>
        <w:t>rodków, dla zadania „Ponadnarodowa mobilność uczniów i absolwentów oraz kadry kształcenia zawodowego” realizowanego przez Zespół Szkół Artystyczno-Projektowych. Kwota ta stanowi wartość niewydatkowanych w latach ubiegłych środków.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8CA" w:rsidRDefault="002A48CA">
      <w:r>
        <w:separator/>
      </w:r>
    </w:p>
  </w:endnote>
  <w:endnote w:type="continuationSeparator" w:id="0">
    <w:p w:rsidR="002A48CA" w:rsidRDefault="002A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55C0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left"/>
            <w:rPr>
              <w:sz w:val="18"/>
            </w:rPr>
          </w:pPr>
          <w:r>
            <w:rPr>
              <w:sz w:val="18"/>
            </w:rPr>
            <w:t>Id: 5678D017-6B8E-4C77-A347-6E11B772BBEE.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4999">
            <w:rPr>
              <w:sz w:val="18"/>
            </w:rPr>
            <w:fldChar w:fldCharType="separate"/>
          </w:r>
          <w:r w:rsidR="00C549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5C02" w:rsidRDefault="00455C0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55C0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left"/>
            <w:rPr>
              <w:sz w:val="18"/>
            </w:rPr>
          </w:pPr>
          <w:r>
            <w:rPr>
              <w:sz w:val="18"/>
            </w:rPr>
            <w:t>Id: 5678D017-6B8E-4C77-A347-6E11B772BBEE.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4999">
            <w:rPr>
              <w:sz w:val="18"/>
            </w:rPr>
            <w:fldChar w:fldCharType="separate"/>
          </w:r>
          <w:r w:rsidR="00C549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5C02" w:rsidRDefault="00455C0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55C0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left"/>
            <w:rPr>
              <w:sz w:val="18"/>
            </w:rPr>
          </w:pPr>
          <w:r>
            <w:rPr>
              <w:sz w:val="18"/>
            </w:rPr>
            <w:t>Id: 5678D017-6B8E-4C77-A347-6E11B772BBEE.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4999">
            <w:rPr>
              <w:sz w:val="18"/>
            </w:rPr>
            <w:fldChar w:fldCharType="separate"/>
          </w:r>
          <w:r w:rsidR="00C549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55C02" w:rsidRDefault="00455C02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455C0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left"/>
            <w:rPr>
              <w:sz w:val="18"/>
            </w:rPr>
          </w:pPr>
          <w:r>
            <w:rPr>
              <w:sz w:val="18"/>
            </w:rPr>
            <w:t>Id: 5678D017-6B8E-4C77-A3</w:t>
          </w:r>
          <w:r>
            <w:rPr>
              <w:sz w:val="18"/>
            </w:rPr>
            <w:t>47-6E11B772BBEE.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:rsidR="00455C02" w:rsidRDefault="002A48C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54999">
            <w:rPr>
              <w:sz w:val="18"/>
            </w:rPr>
            <w:fldChar w:fldCharType="separate"/>
          </w:r>
          <w:r w:rsidR="00C5499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55C02" w:rsidRDefault="00455C0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8CA" w:rsidRDefault="002A48CA">
      <w:r>
        <w:separator/>
      </w:r>
    </w:p>
  </w:footnote>
  <w:footnote w:type="continuationSeparator" w:id="0">
    <w:p w:rsidR="002A48CA" w:rsidRDefault="002A48CA">
      <w:r>
        <w:continuationSeparator/>
      </w:r>
    </w:p>
  </w:footnote>
  <w:footnote w:id="1">
    <w:p w:rsidR="00455C02" w:rsidRDefault="002A48C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2245, z 2019r. poz. 1649, z 2020r. poz. 284, poz. 374, poz. 568, poz. 695</w:t>
      </w:r>
    </w:p>
  </w:footnote>
  <w:footnote w:id="2">
    <w:p w:rsidR="00455C02" w:rsidRDefault="002A48C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2019r. </w:t>
      </w:r>
      <w:r>
        <w:t>poz.1903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C02"/>
    <w:rsid w:val="002A48CA"/>
    <w:rsid w:val="00455C02"/>
    <w:rsid w:val="00C5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2283E7-AD9F-4F15-9E4B-C54A3D62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1233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XVIII/183/2020 z dnia 28 kwietnia 2020 r.</vt:lpstr>
      <vt:lpstr/>
    </vt:vector>
  </TitlesOfParts>
  <Company>Rada Powiatu Tarnogórskiego</Company>
  <LinksUpToDate>false</LinksUpToDate>
  <CharactersWithSpaces>8620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XVIII/183/2020 z dnia 28 kwietnia 2020 r.</dc:title>
  <dc:subject>w sprawie zmiany Wieloletniej Prognozy Finansowej Powiatu Tarnogórskiego na lata 2020-2028</dc:subject>
  <dc:creator>nr367</dc:creator>
  <cp:lastModifiedBy>nr314</cp:lastModifiedBy>
  <cp:revision>2</cp:revision>
  <dcterms:created xsi:type="dcterms:W3CDTF">2020-06-05T06:53:00Z</dcterms:created>
  <dcterms:modified xsi:type="dcterms:W3CDTF">2020-06-05T06:53:00Z</dcterms:modified>
  <cp:category>Akt prawny</cp:category>
</cp:coreProperties>
</file>