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7.3.0.0 -->
  <w:body>
    <w:p w:rsidR="00A77B3E">
      <w:pPr>
        <w:ind w:left="0"/>
        <w:jc w:val="center"/>
        <w:rPr>
          <w:rFonts w:ascii="Times New Roman" w:eastAsia="Times New Roman" w:hAnsi="Times New Roman" w:cs="Times New Roman"/>
          <w:b/>
          <w:caps/>
          <w:sz w:val="22"/>
        </w:rPr>
      </w:pPr>
      <w:r>
        <w:rPr>
          <w:rFonts w:ascii="Times New Roman" w:eastAsia="Times New Roman" w:hAnsi="Times New Roman" w:cs="Times New Roman"/>
          <w:b/>
          <w:caps/>
          <w:sz w:val="22"/>
        </w:rPr>
        <w:t>Uchwała</w:t>
      </w:r>
      <w:r>
        <w:rPr>
          <w:rFonts w:ascii="Times New Roman" w:eastAsia="Times New Roman" w:hAnsi="Times New Roman" w:cs="Times New Roman"/>
          <w:b/>
          <w:caps/>
          <w:sz w:val="22"/>
        </w:rPr>
        <w:t xml:space="preserve"> Nr XIX/193/2020</w:t>
      </w:r>
      <w:r>
        <w:rPr>
          <w:rFonts w:ascii="Times New Roman" w:eastAsia="Times New Roman" w:hAnsi="Times New Roman" w:cs="Times New Roman"/>
          <w:b/>
          <w:caps/>
          <w:sz w:val="22"/>
        </w:rPr>
        <w:br/>
      </w:r>
      <w:r>
        <w:rPr>
          <w:rFonts w:ascii="Times New Roman" w:eastAsia="Times New Roman" w:hAnsi="Times New Roman" w:cs="Times New Roman"/>
          <w:b/>
          <w:caps/>
          <w:sz w:val="22"/>
        </w:rPr>
        <w:t>Rady Powiatu Tarnogórskiego</w:t>
      </w:r>
    </w:p>
    <w:p w:rsidR="00A77B3E">
      <w:pPr>
        <w:spacing w:before="280" w:after="280"/>
        <w:ind w:left="0"/>
        <w:jc w:val="center"/>
        <w:rPr>
          <w:rFonts w:ascii="Times New Roman" w:eastAsia="Times New Roman" w:hAnsi="Times New Roman" w:cs="Times New Roman"/>
          <w:b/>
          <w:caps/>
          <w:sz w:val="22"/>
        </w:rPr>
      </w:pPr>
      <w:r>
        <w:rPr>
          <w:rFonts w:ascii="Times New Roman" w:eastAsia="Times New Roman" w:hAnsi="Times New Roman" w:cs="Times New Roman"/>
          <w:b w:val="0"/>
          <w:caps w:val="0"/>
          <w:sz w:val="22"/>
        </w:rPr>
        <w:t>z dnia 26 maja 2020 r.</w:t>
      </w:r>
    </w:p>
    <w:p w:rsidR="00A77B3E">
      <w:pPr>
        <w:keepNext/>
        <w:spacing w:before="0" w:after="480" w:line="240" w:lineRule="auto"/>
        <w:ind w:left="0" w:right="0" w:firstLine="0"/>
        <w:jc w:val="center"/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</w:pPr>
      <w:r>
        <w:rPr>
          <w:rFonts w:ascii="Times New Roman" w:eastAsia="Times New Roman" w:hAnsi="Times New Roman" w:cs="Times New Roman"/>
          <w:b/>
          <w:caps w:val="0"/>
          <w:sz w:val="22"/>
        </w:rPr>
        <w:t>w sprawie przekazania Gminom Powiatu Tarnogórskiego zadania związanego z przygotowaniem i zapewnieniem działania systemu wykrywania i alarmowania oraz systemu wczesnego ostrzegania o zagrożeniach na obszarze działania Powiatu</w:t>
      </w:r>
    </w:p>
    <w:p w:rsidR="00A77B3E">
      <w:pPr>
        <w:keepNext w:val="0"/>
        <w:keepLines/>
        <w:spacing w:before="120" w:after="120" w:line="240" w:lineRule="auto"/>
        <w:ind w:left="0" w:right="0" w:firstLine="227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Na podstawie art.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5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pkt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2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ustawy z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dnia 5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czerwca 1998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roku o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samorządzie powiatowym (tekst jednolity: Dz.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U. z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2019r. poz.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511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z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późn. zm.</w:t>
      </w:r>
      <w:r>
        <w:rPr>
          <w:rStyle w:val="FootnoteReference"/>
        </w:rPr>
        <w:footnoteReference w:id="0"/>
      </w:r>
      <w:r>
        <w:rPr>
          <w:sz w:val="22"/>
          <w:vertAlign w:val="superscript"/>
        </w:rPr>
        <w:t>)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), oraz na podstawie §3 pkt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6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Rozporządzenia Rady Ministrów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sprawie szczegółowego zakresu działania Szefa Obrony Cywilnej Kraju, szefów obrony cywilnej województw, powiatów i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gmin z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dnia 25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czerwca 2002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roku (Dz.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U. nr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96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poz.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850)</w:t>
      </w:r>
    </w:p>
    <w:p w:rsidR="00A77B3E">
      <w:pPr>
        <w:keepNext w:val="0"/>
        <w:keepLines w:val="0"/>
        <w:spacing w:before="120" w:after="120" w:line="240" w:lineRule="auto"/>
        <w:ind w:left="0" w:right="0" w:firstLine="0"/>
        <w:jc w:val="center"/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t>Rada Powiatu</w:t>
      </w: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br/>
      </w: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t>uchwala:</w:t>
      </w:r>
    </w:p>
    <w:p w:rsidR="00A77B3E">
      <w:pPr>
        <w:keepNext w:val="0"/>
        <w:keepLines/>
        <w:spacing w:before="120" w:after="120" w:line="240" w:lineRule="auto"/>
        <w:ind w:left="0" w:right="0" w:firstLine="340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b/>
          <w:sz w:val="22"/>
        </w:rPr>
        <w:t>§ 1. </w:t>
      </w:r>
      <w:r>
        <w:rPr>
          <w:rFonts w:ascii="Times New Roman" w:eastAsia="Times New Roman" w:hAnsi="Times New Roman" w:cs="Times New Roman"/>
          <w:sz w:val="22"/>
        </w:rPr>
        <w:t>1. 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Przekazuje się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roku 2020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Gminom: Kalety, Miasteczko Śląskie, Radzionków, Zbrosławice zadania Powiatu Tarnogórskiego związanego z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przygotowaniem i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zapewnieniem działania systemu wykrywania i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alarmowania oraz systemu wczesnego ostrzegania o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zagrożeniach na obszarze działania Powiatu.</w:t>
      </w:r>
    </w:p>
    <w:p w:rsidR="00A77B3E">
      <w:pPr>
        <w:keepNext w:val="0"/>
        <w:keepLines/>
        <w:spacing w:before="120" w:after="120" w:line="240" w:lineRule="auto"/>
        <w:ind w:left="0" w:right="0" w:firstLine="340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2. 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Zadanie, o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którym mowa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ust.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1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dotyczy konserwacji i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utrzymania sprawności systemów alarmowych i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łączności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obrębie Gmin.</w:t>
      </w:r>
    </w:p>
    <w:p w:rsidR="00A77B3E">
      <w:pPr>
        <w:keepNext w:val="0"/>
        <w:keepLines/>
        <w:spacing w:before="120" w:after="120" w:line="240" w:lineRule="auto"/>
        <w:ind w:left="0" w:right="0" w:firstLine="340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b/>
          <w:sz w:val="22"/>
        </w:rPr>
        <w:t>§ 2.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Powierzenie zadania, o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którym mowa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§ 1, nastąpi na mocy porozumień zawartych pomiędzy Powiatem Tarnogórskim a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poszczególnymi Gminami.</w:t>
      </w:r>
    </w:p>
    <w:p w:rsidR="00A77B3E">
      <w:pPr>
        <w:keepNext w:val="0"/>
        <w:keepLines/>
        <w:spacing w:before="120" w:after="120" w:line="240" w:lineRule="auto"/>
        <w:ind w:left="0" w:right="0" w:firstLine="340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b/>
          <w:sz w:val="22"/>
        </w:rPr>
        <w:t>§ 3.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Wykonanie uchwały powierza się Zarządowi Powiatu Tarnogórskiego.</w:t>
      </w:r>
    </w:p>
    <w:p w:rsidR="00A77B3E">
      <w:pPr>
        <w:keepNext w:val="0"/>
        <w:keepLines/>
        <w:spacing w:before="120" w:after="120" w:line="240" w:lineRule="auto"/>
        <w:ind w:left="0" w:right="0" w:firstLine="340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b/>
          <w:sz w:val="22"/>
        </w:rPr>
        <w:t>§ 4.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Uchwała wchodzi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życie z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dniem podjęcia.</w:t>
      </w:r>
    </w:p>
    <w:p w:rsidR="00A77B3E">
      <w:pPr>
        <w:keepNext/>
        <w:keepLines/>
        <w:spacing w:before="120" w:after="120" w:line="240" w:lineRule="auto"/>
        <w:ind w:left="0" w:right="0" w:firstLine="340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b/>
          <w:sz w:val="22"/>
        </w:rPr>
        <w:t>§ 5.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Uchwała podlega ogłoszeniu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sposób zwyczajowo przyjęty.</w:t>
      </w:r>
    </w:p>
    <w:p w:rsidR="00A77B3E">
      <w:pPr>
        <w:keepNext/>
        <w:keepLines/>
        <w:spacing w:before="120" w:after="120" w:line="240" w:lineRule="auto"/>
        <w:ind w:left="0" w:right="0" w:firstLine="340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</w:p>
    <w:p w:rsidR="00A77B3E">
      <w:pPr>
        <w:keepNext/>
        <w:spacing w:before="0" w:after="0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b w:val="0"/>
          <w:i w:val="0"/>
          <w:color w:val="000000"/>
          <w:u w:val="none"/>
          <w:vertAlign w:val="baseline"/>
        </w:rPr>
        <w:t> </w:t>
      </w:r>
    </w:p>
    <w:tbl>
      <w:tblPr>
        <w:tblW w:w="5000" w:type="pct"/>
        <w:tblCellMar>
          <w:top w:w="0" w:type="dxa"/>
          <w:left w:w="0" w:type="dxa"/>
          <w:bottom w:w="0" w:type="dxa"/>
          <w:right w:w="0" w:type="dxa"/>
        </w:tblCellMar>
      </w:tblPr>
      <w:tblGrid>
        <w:gridCol w:w="5103"/>
        <w:gridCol w:w="5103"/>
      </w:tblGrid>
      <w:tr>
        <w:tblPrEx>
          <w:tblW w:w="5000" w:type="pct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2500" w:type="pct"/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/>
              <w:keepLines/>
              <w:jc w:val="left"/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mallCaps w:val="0"/>
                <w:color w:val="000000"/>
                <w:sz w:val="22"/>
                <w:szCs w:val="22"/>
              </w:rPr>
            </w:pPr>
          </w:p>
        </w:tc>
        <w:tc>
          <w:tcPr>
            <w:tcW w:w="2500" w:type="pct"/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/>
              <w:keepLines/>
              <w:spacing w:before="560" w:after="560"/>
              <w:ind w:left="1134" w:right="1134" w:firstLine="0"/>
              <w:jc w:val="center"/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mallCaps w:val="0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mallCaps w:val="0"/>
                <w:color w:val="000000"/>
                <w:sz w:val="22"/>
                <w:szCs w:val="22"/>
              </w:rPr>
              <w:t>Przewodniczący Rady Powiatu</w:t>
            </w:r>
            <w:r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mallCaps w:val="0"/>
                <w:color w:val="000000"/>
                <w:sz w:val="22"/>
                <w:szCs w:val="22"/>
              </w:rPr>
              <w:br/>
            </w:r>
            <w:r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mallCaps w:val="0"/>
                <w:color w:val="000000"/>
                <w:sz w:val="22"/>
                <w:szCs w:val="22"/>
              </w:rPr>
              <w:br/>
            </w:r>
            <w:r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mallCaps w:val="0"/>
                <w:color w:val="000000"/>
                <w:sz w:val="22"/>
                <w:szCs w:val="22"/>
              </w:rPr>
              <w:br/>
            </w:r>
            <w:r>
              <w:rPr>
                <w:b/>
                <w:i w:val="0"/>
              </w:rPr>
              <w:t>Przemysław Cichosz</w:t>
            </w:r>
          </w:p>
        </w:tc>
      </w:tr>
    </w:tbl>
    <w:p w:rsidR="00A77B3E">
      <w:pPr>
        <w:keepNext/>
        <w:spacing w:before="0" w:after="0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</w:p>
    <w:sectPr>
      <w:footerReference w:type="default" r:id="rId5"/>
      <w:endnotePr>
        <w:numFmt w:val="decimal"/>
      </w:endnotePr>
      <w:pgSz w:w="11906" w:h="16838"/>
      <w:pgMar w:top="850" w:right="850" w:bottom="1417" w:left="85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7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20007A87" w:usb1="80000000" w:usb2="00000008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5000" w:type="pct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108" w:type="dxa"/>
        <w:right w:w="108" w:type="dxa"/>
      </w:tblCellMar>
    </w:tblPr>
    <w:tblGrid>
      <w:gridCol w:w="6804"/>
      <w:gridCol w:w="3402"/>
    </w:tblGrid>
    <w:tr>
      <w:tblPrEx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8" w:type="dxa"/>
          <w:right w:w="108" w:type="dxa"/>
        </w:tblCellMar>
      </w:tblPrEx>
      <w:tc>
        <w:tcPr>
          <w:tcW w:w="6804" w:type="dxa"/>
          <w:tcBorders>
            <w:top w:val="single" w:sz="2" w:space="0" w:color="auto"/>
            <w:left w:val="nil"/>
            <w:bottom w:val="nil"/>
            <w:right w:val="nil"/>
          </w:tcBorders>
          <w:noWrap w:val="0"/>
          <w:tcMar>
            <w:top w:w="100" w:type="dxa"/>
            <w:left w:w="0" w:type="dxa"/>
            <w:bottom w:w="0" w:type="dxa"/>
            <w:right w:w="0" w:type="dxa"/>
          </w:tcMar>
          <w:vAlign w:val="top"/>
        </w:tcPr>
        <w:p>
          <w:pPr>
            <w:jc w:val="left"/>
            <w:rPr>
              <w:rFonts w:ascii="Times New Roman" w:eastAsia="Times New Roman" w:hAnsi="Times New Roman" w:cs="Times New Roman"/>
              <w:b w:val="0"/>
              <w:sz w:val="18"/>
            </w:rPr>
          </w:pPr>
          <w:r>
            <w:rPr>
              <w:rFonts w:ascii="Times New Roman" w:eastAsia="Times New Roman" w:hAnsi="Times New Roman" w:cs="Times New Roman"/>
              <w:b w:val="0"/>
              <w:sz w:val="18"/>
            </w:rPr>
            <w:t>Id: A2C0A42F-55BF-45C9-8FFF-E6C5113E2E21. Podpisany</w:t>
          </w:r>
        </w:p>
      </w:tc>
      <w:tc>
        <w:tcPr>
          <w:tcW w:w="3402" w:type="dxa"/>
          <w:tcBorders>
            <w:top w:val="single" w:sz="2" w:space="0" w:color="auto"/>
            <w:left w:val="nil"/>
            <w:bottom w:val="nil"/>
            <w:right w:val="nil"/>
          </w:tcBorders>
          <w:noWrap w:val="0"/>
          <w:tcMar>
            <w:top w:w="100" w:type="dxa"/>
            <w:left w:w="0" w:type="dxa"/>
            <w:bottom w:w="0" w:type="dxa"/>
            <w:right w:w="0" w:type="dxa"/>
          </w:tcMar>
          <w:vAlign w:val="top"/>
        </w:tcPr>
        <w:p>
          <w:pPr>
            <w:jc w:val="right"/>
            <w:rPr>
              <w:rFonts w:ascii="Times New Roman" w:eastAsia="Times New Roman" w:hAnsi="Times New Roman" w:cs="Times New Roman"/>
              <w:b w:val="0"/>
              <w:sz w:val="18"/>
            </w:rPr>
          </w:pPr>
          <w:r>
            <w:rPr>
              <w:rFonts w:ascii="Times New Roman" w:eastAsia="Times New Roman" w:hAnsi="Times New Roman" w:cs="Times New Roman"/>
              <w:b w:val="0"/>
              <w:sz w:val="18"/>
            </w:rPr>
            <w:t xml:space="preserve">Strona </w:t>
          </w:r>
          <w:r>
            <w:rPr>
              <w:rFonts w:ascii="Times New Roman" w:eastAsia="Times New Roman" w:hAnsi="Times New Roman" w:cs="Times New Roman"/>
              <w:b w:val="0"/>
              <w:sz w:val="18"/>
            </w:rPr>
            <w:fldChar w:fldCharType="begin"/>
          </w:r>
          <w:r>
            <w:rPr>
              <w:rFonts w:ascii="Times New Roman" w:eastAsia="Times New Roman" w:hAnsi="Times New Roman" w:cs="Times New Roman"/>
              <w:b w:val="0"/>
              <w:sz w:val="18"/>
            </w:rPr>
            <w:instrText>PAGE</w:instrText>
          </w:r>
          <w:r>
            <w:rPr>
              <w:rFonts w:ascii="Times New Roman" w:eastAsia="Times New Roman" w:hAnsi="Times New Roman" w:cs="Times New Roman"/>
              <w:b w:val="0"/>
              <w:sz w:val="18"/>
            </w:rPr>
            <w:fldChar w:fldCharType="separate"/>
          </w:r>
          <w:r>
            <w:rPr>
              <w:rFonts w:ascii="Times New Roman" w:eastAsia="Times New Roman" w:hAnsi="Times New Roman" w:cs="Times New Roman"/>
              <w:b w:val="0"/>
              <w:sz w:val="18"/>
            </w:rPr>
            <w:fldChar w:fldCharType="end"/>
          </w:r>
        </w:p>
      </w:tc>
    </w:tr>
  </w:tbl>
  <w:p>
    <w:pPr>
      <w:rPr>
        <w:rFonts w:ascii="Times New Roman" w:eastAsia="Times New Roman" w:hAnsi="Times New Roman" w:cs="Times New Roman"/>
        <w:b w:val="0"/>
        <w:sz w:val="18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id="0">
    <w:p>
      <w:pPr>
        <w:pStyle w:val="FootnoteText"/>
        <w:keepNext w:val="0"/>
        <w:keepLines/>
        <w:spacing w:before="0" w:after="0" w:line="240" w:lineRule="auto"/>
        <w:ind w:left="170" w:right="0" w:hanging="170"/>
        <w:jc w:val="both"/>
        <w:rPr>
          <w:rFonts w:ascii="Times New Roman" w:eastAsia="Times New Roman" w:hAnsi="Times New Roman" w:cs="Times New Roman"/>
          <w:sz w:val="20"/>
        </w:rPr>
      </w:pPr>
      <w:r>
        <w:rPr>
          <w:rStyle w:val="FootnoteReference"/>
        </w:rPr>
        <w:footnoteRef/>
      </w:r>
      <w:r>
        <w:rPr>
          <w:vertAlign w:val="superscript"/>
        </w:rPr>
        <w:t>) </w:t>
      </w:r>
      <w:r>
        <w:rPr>
          <w:rFonts w:ascii="Times New Roman" w:eastAsia="Times New Roman" w:hAnsi="Times New Roman" w:cs="Times New Roman"/>
          <w:b w:val="0"/>
          <w:caps w:val="0"/>
          <w:sz w:val="20"/>
        </w:rPr>
        <w:t>Przepisy wprowadzające zmiany opublikowano: Dz. U. z 2019r. poz. 1815, poz. 1571</w:t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grammar="clean"/>
  <w:stylePaneFormatFilter w:val="3F01"/>
  <w:defaultTabStop w:val="720"/>
  <w:noPunctuationKerning/>
  <w:characterSpacingControl w:val="doNotCompress"/>
  <w:endnotePr>
    <w:numFmt w:val="decimal"/>
  </w:endnotePr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jc w:val="both"/>
    </w:pPr>
    <w:rPr>
      <w:rFonts w:ascii="Times New Roman" w:eastAsia="Times New Roman" w:hAnsi="Times New Roman" w:cs="Times New Roman"/>
      <w:sz w:val="22"/>
      <w:szCs w:val="24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character" w:styleId="FootnoteReference">
    <w:name w:val="footnote reference"/>
    <w:basedOn w:val="DefaultParagraphFont"/>
    <w:rsid w:val="00805BCE"/>
    <w:rPr>
      <w:vertAlign w:val="superscript"/>
    </w:rPr>
  </w:style>
  <w:style w:type="paragraph" w:styleId="FootnoteText">
    <w:name w:val="footnote text"/>
    <w:basedOn w:val="Normal"/>
    <w:rsid w:val="00805BCE"/>
    <w:rPr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footnotes" Target="footnot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footer" Target="footer1.xml" /><Relationship Id="rId6" Type="http://schemas.openxmlformats.org/officeDocument/2006/relationships/styles" Target="styles.xml" /></Relationships>
</file>

<file path=docProps/app.xml><?xml version="1.0" encoding="utf-8"?>
<Properties xmlns="http://schemas.openxmlformats.org/officeDocument/2006/extended-properties" xmlns:vt="http://schemas.openxmlformats.org/officeDocument/2006/docPropsVTypes">
  <Template>Normal.dot</Template>
  <TotalTime>0</TotalTime>
  <Pages>1</Pages>
  <Words>0</Words>
  <Characters>0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Rady Powiatu Tarnogórskiego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Uchwała Nr XIX/193/2020 z dnia 26 maja 2020 r.</dc:title>
  <dc:subject>w sprawie przekazania Gminom Powiatu Tarnogórskiego zadania związanego z^przygotowaniem i^zapewnieniem działania systemu wykrywania i^alarmowania oraz systemu wczesnego ostrzegania o^zagrożeniach na obszarze działania Powiatu</dc:subject>
  <dc:creator>nr367</dc:creator>
  <cp:lastModifiedBy>nr367</cp:lastModifiedBy>
  <cp:revision>1</cp:revision>
  <dcterms:created xsi:type="dcterms:W3CDTF">2020-05-28T14:34:05Z</dcterms:created>
  <dcterms:modified xsi:type="dcterms:W3CDTF">2020-05-28T14:34:05Z</dcterms:modified>
  <cp:category>Akt prawny</cp:category>
</cp:coreProperties>
</file>