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ody>
    <w:p w:rsidR="00A77B3E">
      <w:pPr>
        <w:ind w:left="0"/>
        <w:jc w:val="center"/>
        <w:rPr>
          <w:rFonts w:ascii="Times New Roman" w:eastAsia="Times New Roman" w:hAnsi="Times New Roman" w:cs="Times New Roman"/>
          <w:b/>
          <w:caps/>
          <w:sz w:val="22"/>
        </w:rPr>
      </w:pPr>
      <w:r>
        <w:rPr>
          <w:rFonts w:ascii="Times New Roman" w:eastAsia="Times New Roman" w:hAnsi="Times New Roman" w:cs="Times New Roman"/>
          <w:b/>
          <w:caps/>
          <w:sz w:val="22"/>
        </w:rPr>
        <w:t>Uchwała</w:t>
      </w:r>
      <w:r>
        <w:rPr>
          <w:rFonts w:ascii="Times New Roman" w:eastAsia="Times New Roman" w:hAnsi="Times New Roman" w:cs="Times New Roman"/>
          <w:b/>
          <w:caps/>
          <w:sz w:val="22"/>
        </w:rPr>
        <w:t xml:space="preserve"> Nr XVIII/183/2020</w:t>
      </w:r>
      <w:r>
        <w:rPr>
          <w:rFonts w:ascii="Times New Roman" w:eastAsia="Times New Roman" w:hAnsi="Times New Roman" w:cs="Times New Roman"/>
          <w:b/>
          <w:caps/>
          <w:sz w:val="22"/>
        </w:rPr>
        <w:br/>
      </w:r>
      <w:r>
        <w:rPr>
          <w:rFonts w:ascii="Times New Roman" w:eastAsia="Times New Roman" w:hAnsi="Times New Roman" w:cs="Times New Roman"/>
          <w:b/>
          <w:caps/>
          <w:sz w:val="22"/>
        </w:rPr>
        <w:t>Rady Powiatu Tarnogórskiego</w:t>
      </w:r>
    </w:p>
    <w:p w:rsidR="00A77B3E">
      <w:pPr>
        <w:spacing w:before="280" w:after="280"/>
        <w:ind w:left="0"/>
        <w:jc w:val="center"/>
        <w:rPr>
          <w:rFonts w:ascii="Times New Roman" w:eastAsia="Times New Roman" w:hAnsi="Times New Roman" w:cs="Times New Roman"/>
          <w:b/>
          <w:caps/>
          <w:sz w:val="22"/>
        </w:rPr>
      </w:pPr>
      <w:r>
        <w:rPr>
          <w:rFonts w:ascii="Times New Roman" w:eastAsia="Times New Roman" w:hAnsi="Times New Roman" w:cs="Times New Roman"/>
          <w:b w:val="0"/>
          <w:caps w:val="0"/>
          <w:sz w:val="22"/>
        </w:rPr>
        <w:t>z dnia 28 kwietnia 2020 r.</w:t>
      </w:r>
    </w:p>
    <w:p w:rsidR="00A77B3E">
      <w:pPr>
        <w:keepNext/>
        <w:spacing w:before="0" w:after="480" w:line="240" w:lineRule="auto"/>
        <w:ind w:left="0" w:right="0" w:firstLine="0"/>
        <w:jc w:val="center"/>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caps w:val="0"/>
          <w:sz w:val="22"/>
        </w:rPr>
        <w:t>w sprawie zmiany Wieloletniej Prognozy Finansowej Powiatu Tarnogórskiego na lata 2020-2028</w:t>
      </w:r>
    </w:p>
    <w:p w:rsidR="00A77B3E">
      <w:pPr>
        <w:keepNext w:val="0"/>
        <w:keepLines/>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auto"/>
          <w:sz w:val="22"/>
          <w:u w:val="none"/>
          <w:vertAlign w:val="baseline"/>
        </w:rPr>
        <w:t>Na podstawie 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226, 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227, 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228, 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229, 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230, 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231, art. 232, 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242</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243</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ustawy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dnia 27</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sierpnia 2009</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roku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finansach publicznych (tekst jednolity: Dz.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2019r. poz.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869 z późn. zm.</w:t>
      </w:r>
      <w:r>
        <w:rPr>
          <w:rStyle w:val="FootnoteReference"/>
        </w:rPr>
        <w:footnoteReference w:id="0"/>
      </w:r>
      <w:r>
        <w:rPr>
          <w:sz w:val="22"/>
          <w:vertAlign w:val="superscript"/>
        </w:rPr>
        <w:t>)</w:t>
      </w:r>
      <w:r>
        <w:rPr>
          <w:rFonts w:ascii="Times New Roman" w:eastAsia="Times New Roman" w:hAnsi="Times New Roman" w:cs="Times New Roman"/>
          <w:b w:val="0"/>
          <w:i w:val="0"/>
          <w:caps w:val="0"/>
          <w:strike w:val="0"/>
          <w:color w:val="000000"/>
          <w:sz w:val="22"/>
          <w:u w:val="none" w:color="000000"/>
          <w:vertAlign w:val="baseline"/>
        </w:rPr>
        <w:t>) oraz Rozporządzenia Ministra Finansów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10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stycznia 2013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sprawie wieloletniej prognozy finansowej jednostki samorządu terytorialnego (tekst jednolity: Dz.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2015r.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92 z późn. zm.</w:t>
      </w:r>
      <w:r>
        <w:rPr>
          <w:rStyle w:val="FootnoteReference"/>
        </w:rPr>
        <w:footnoteReference w:id="1"/>
      </w:r>
      <w:r>
        <w:rPr>
          <w:sz w:val="22"/>
          <w:vertAlign w:val="superscript"/>
        </w:rPr>
        <w:t>)</w:t>
      </w: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0" w:right="0" w:firstLine="0"/>
        <w:jc w:val="center"/>
        <w:rPr>
          <w:rFonts w:ascii="Times New Roman" w:eastAsia="Times New Roman" w:hAnsi="Times New Roman" w:cs="Times New Roman"/>
          <w:b/>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Rada Powiatu</w:t>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uchwala: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Załącznik nr 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XV/156/2019 Rady Powiatu Tarnogórskiego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17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grudnia 2019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sprawie Wieloletniej Prognozy Finansowej Powiatu Tarnogórskiego na lata 2020-2028 otrzymuje brzmienie według załącznika nr 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niniejszej uchwały.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Załącznik nr 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XV/156/2019 Rady Powiatu Tarnogórskiego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17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grudnia 2019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sprawie Wieloletniej Prognozy Finansowej Powiatu Tarnogórskiego na lata 2020-2028 otrzymuje brzmienie według załącznika nr 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niniejszej uchwały.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Objaśnienia wartości Wieloletniej Prognozy Finansowej Powiatu Tarnogórskiego na lata 2020-2028 przyjęte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związku ze zmianami dokonanymi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budżecie Powiatu Tarnogórskiego stanowią załącznik nr 3 do niniejszej uchwały.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Wykonanie uchwały powierza się Zarządowi Powiatu Tarnogórskiego.</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Uchwała wchodzi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życie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dniem podjęcia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podlega ogłoszeniu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sposób zwyczajowo przyjęty.</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p>
    <w:p w:rsidR="00A77B3E">
      <w:pPr>
        <w:keepNext/>
        <w:spacing w:before="0" w:after="0"/>
        <w:rPr>
          <w:rFonts w:ascii="Times New Roman" w:eastAsia="Times New Roman" w:hAnsi="Times New Roman" w:cs="Times New Roman"/>
          <w:b w:val="0"/>
          <w:i w:val="0"/>
          <w:caps w:val="0"/>
          <w:strike w:val="0"/>
          <w:color w:val="000000"/>
          <w:sz w:val="22"/>
          <w:u w:val="none" w:color="000000"/>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5103"/>
        <w:gridCol w:w="510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tcPr>
          <w:p>
            <w:pPr>
              <w:keepNext/>
              <w:keepLines/>
              <w:jc w:val="left"/>
              <w:rPr>
                <w:rFonts w:ascii="Times New Roman" w:eastAsia="Times New Roman" w:hAnsi="Times New Roman" w:cs="Times New Roman"/>
                <w:b w:val="0"/>
                <w:bCs w:val="0"/>
                <w:i w:val="0"/>
                <w:iCs w:val="0"/>
                <w:smallCaps w:val="0"/>
                <w:color w:val="000000"/>
                <w:sz w:val="22"/>
                <w:szCs w:val="22"/>
              </w:rPr>
            </w:pPr>
          </w:p>
        </w:tc>
        <w:tc>
          <w:tcPr>
            <w:tcW w:w="2500" w:type="pct"/>
            <w:noWrap w:val="0"/>
            <w:tcMar>
              <w:top w:w="0" w:type="dxa"/>
              <w:left w:w="0" w:type="dxa"/>
              <w:bottom w:w="0" w:type="dxa"/>
              <w:right w:w="0" w:type="dxa"/>
            </w:tcMar>
            <w:vAlign w:val="top"/>
          </w:tcPr>
          <w:p>
            <w:pPr>
              <w:keepNext/>
              <w:keepLines/>
              <w:spacing w:before="560" w:after="560"/>
              <w:ind w:left="1134" w:right="1134" w:firstLine="0"/>
              <w:jc w:val="center"/>
              <w:rPr>
                <w:rFonts w:ascii="Times New Roman" w:eastAsia="Times New Roman" w:hAnsi="Times New Roman" w:cs="Times New Roman"/>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Przewodniczący Rady Powiatu</w:t>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b/>
                <w:i w:val="0"/>
              </w:rPr>
              <w:t>Przemysław Cichosz</w:t>
            </w:r>
          </w:p>
        </w:tc>
      </w:tr>
    </w:tbl>
    <w:p w:rsidR="00A77B3E">
      <w:pPr>
        <w:keepNext/>
        <w:spacing w:before="0" w:after="0"/>
        <w:rPr>
          <w:rFonts w:ascii="Times New Roman" w:eastAsia="Times New Roman" w:hAnsi="Times New Roman" w:cs="Times New Roman"/>
          <w:b w:val="0"/>
          <w:i w:val="0"/>
          <w:caps w:val="0"/>
          <w:strike w:val="0"/>
          <w:color w:val="000000"/>
          <w:sz w:val="22"/>
          <w:u w:val="none" w:color="000000"/>
          <w:vertAlign w:val="baseline"/>
        </w:rPr>
        <w:sectPr>
          <w:footerReference w:type="default" r:id="rId5"/>
          <w:endnotePr>
            <w:numFmt w:val="decimal"/>
          </w:endnotePr>
          <w:pgSz w:w="11906" w:h="16838"/>
          <w:pgMar w:top="850" w:right="850" w:bottom="1417" w:left="850" w:header="708" w:footer="708" w:gutter="0"/>
          <w:cols w:space="708"/>
          <w:docGrid w:linePitch="360"/>
        </w:sectPr>
      </w:pPr>
    </w:p>
    <w:p w:rsidR="00A77B3E">
      <w:pPr>
        <w:keepNext/>
        <w:spacing w:before="280" w:after="280" w:line="360" w:lineRule="auto"/>
        <w:ind w:left="4535" w:right="0" w:firstLine="0"/>
        <w:jc w:val="left"/>
        <w:rPr>
          <w:rStyle w:val="Hyperlink"/>
          <w:rFonts w:ascii="Times New Roman" w:eastAsia="Times New Roman" w:hAnsi="Times New Roman" w:cs="Times New Roman"/>
          <w:b w:val="0"/>
          <w:i w:val="0"/>
          <w:caps w:val="0"/>
          <w:strike w:val="0"/>
          <w:color w:val="000000"/>
          <w:sz w:val="22"/>
          <w:u w:val="none" w:color="000000"/>
          <w:vertAlign w:val="baseline"/>
        </w:rPr>
        <w:sectPr>
          <w:footerReference w:type="default" r:id="rId6"/>
          <w:endnotePr>
            <w:numFmt w:val="decimal"/>
          </w:endnotePr>
          <w:type w:val="nextPage"/>
          <w:pgSz w:w="11906" w:h="16838"/>
          <w:pgMar w:top="850" w:right="850" w:bottom="1417" w:left="850" w:header="708" w:footer="708" w:gutter="0"/>
          <w:pgNumType w:start="1"/>
          <w:cols w:space="708"/>
          <w:docGrid w:linePitch="360"/>
        </w:sect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t>Załącznik Nr 1 do uchwały</w:t>
      </w:r>
      <w:r>
        <w:rPr>
          <w:rFonts w:ascii="Times New Roman" w:eastAsia="Times New Roman" w:hAnsi="Times New Roman" w:cs="Times New Roman"/>
          <w:b w:val="0"/>
          <w:i w:val="0"/>
          <w:caps w:val="0"/>
          <w:strike w:val="0"/>
          <w:color w:val="000000"/>
          <w:sz w:val="22"/>
          <w:u w:val="none" w:color="000000"/>
          <w:vertAlign w:val="baseline"/>
        </w:rPr>
        <w:t xml:space="preserve"> Nr XVIII/183/2020</w:t>
      </w:r>
      <w:r>
        <w:rPr>
          <w:rFonts w:ascii="Times New Roman" w:eastAsia="Times New Roman" w:hAnsi="Times New Roman" w:cs="Times New Roman"/>
          <w:b w:val="0"/>
          <w:i w:val="0"/>
          <w:caps w:val="0"/>
          <w:strike w:val="0"/>
          <w:color w:val="000000"/>
          <w:sz w:val="22"/>
          <w:u w:val="none" w:color="000000"/>
          <w:vertAlign w:val="baseline"/>
        </w:rPr>
        <w:br/>
      </w:r>
      <w:r>
        <w:t>Rady Powiatu Tarnogórskiego</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sz w:val="22"/>
        </w:rPr>
        <w:t>z dnia 28 kwietnia 2020 r.</w:t>
      </w:r>
      <w:r>
        <w:rPr>
          <w:rFonts w:ascii="Times New Roman" w:eastAsia="Times New Roman" w:hAnsi="Times New Roman" w:cs="Times New Roman"/>
          <w:b w:val="0"/>
          <w:i w:val="0"/>
          <w:caps w:val="0"/>
          <w:strike w:val="0"/>
          <w:color w:val="000000"/>
          <w:sz w:val="22"/>
          <w:u w:val="none" w:color="000000"/>
          <w:vertAlign w:val="baseline"/>
        </w:rPr>
        <w:br/>
      </w:r>
      <w:r>
        <w:rPr>
          <w:rStyle w:val="Hyperlink"/>
          <w:rFonts w:ascii="Times New Roman" w:eastAsia="Times New Roman" w:hAnsi="Times New Roman" w:cs="Times New Roman"/>
          <w:b w:val="0"/>
          <w:i w:val="0"/>
          <w:caps w:val="0"/>
          <w:strike w:val="0"/>
          <w:color w:val="000000"/>
          <w:sz w:val="22"/>
          <w:u w:val="none" w:color="000000"/>
          <w:vertAlign w:val="baseline"/>
        </w:rPr>
        <w:fldChar w:fldCharType="begin"/>
      </w:r>
      <w:r>
        <w:rPr>
          <w:rStyle w:val="Hyperlink"/>
          <w:rFonts w:ascii="Times New Roman" w:eastAsia="Times New Roman" w:hAnsi="Times New Roman" w:cs="Times New Roman"/>
          <w:b w:val="0"/>
          <w:i w:val="0"/>
          <w:caps w:val="0"/>
          <w:strike w:val="0"/>
          <w:color w:val="000000"/>
          <w:sz w:val="22"/>
          <w:u w:val="none" w:color="000000"/>
          <w:vertAlign w:val="baseline"/>
        </w:rPr>
        <w:instrText xml:space="preserve"> HYPERLINK "Zalacznik1.pdf" </w:instrText>
      </w:r>
      <w:r>
        <w:rPr>
          <w:rStyle w:val="Hyperlink"/>
          <w:rFonts w:ascii="Times New Roman" w:eastAsia="Times New Roman" w:hAnsi="Times New Roman" w:cs="Times New Roman"/>
          <w:b w:val="0"/>
          <w:i w:val="0"/>
          <w:caps w:val="0"/>
          <w:strike w:val="0"/>
          <w:color w:val="000000"/>
          <w:sz w:val="22"/>
          <w:u w:val="none" w:color="000000"/>
          <w:vertAlign w:val="baseline"/>
        </w:rPr>
        <w:fldChar w:fldCharType="separate"/>
      </w:r>
      <w:r>
        <w:rPr>
          <w:rStyle w:val="Hyperlink"/>
          <w:rFonts w:ascii="Times New Roman" w:eastAsia="Times New Roman" w:hAnsi="Times New Roman" w:cs="Times New Roman"/>
          <w:b w:val="0"/>
          <w:i w:val="0"/>
          <w:caps w:val="0"/>
          <w:strike w:val="0"/>
          <w:color w:val="000000"/>
          <w:sz w:val="22"/>
          <w:u w:val="none" w:color="000000"/>
          <w:vertAlign w:val="baseline"/>
        </w:rPr>
        <w:t>Zalacznik1.pdf</w:t>
      </w:r>
      <w:r>
        <w:rPr>
          <w:rStyle w:val="Hyperlink"/>
          <w:rFonts w:ascii="Times New Roman" w:eastAsia="Times New Roman" w:hAnsi="Times New Roman" w:cs="Times New Roman"/>
          <w:b w:val="0"/>
          <w:i w:val="0"/>
          <w:caps w:val="0"/>
          <w:strike w:val="0"/>
          <w:color w:val="000000"/>
          <w:sz w:val="22"/>
          <w:u w:val="none" w:color="000000"/>
          <w:vertAlign w:val="baseline"/>
        </w:rPr>
        <w:fldChar w:fldCharType="end"/>
      </w:r>
    </w:p>
    <w:p w:rsidR="00A77B3E">
      <w:pPr>
        <w:keepNext/>
        <w:spacing w:before="280" w:after="280" w:line="360" w:lineRule="auto"/>
        <w:ind w:left="4535" w:right="0" w:firstLine="0"/>
        <w:jc w:val="left"/>
        <w:rPr>
          <w:rStyle w:val="Hyperlink"/>
          <w:rFonts w:ascii="Times New Roman" w:eastAsia="Times New Roman" w:hAnsi="Times New Roman" w:cs="Times New Roman"/>
          <w:b w:val="0"/>
          <w:i w:val="0"/>
          <w:caps w:val="0"/>
          <w:strike w:val="0"/>
          <w:color w:val="000000"/>
          <w:sz w:val="22"/>
          <w:u w:val="none" w:color="000000"/>
          <w:vertAlign w:val="baseline"/>
        </w:rPr>
        <w:sectPr>
          <w:footerReference w:type="default" r:id="rId7"/>
          <w:endnotePr>
            <w:numFmt w:val="decimal"/>
          </w:endnotePr>
          <w:type w:val="nextPage"/>
          <w:pgSz w:w="11906" w:h="16838"/>
          <w:pgMar w:top="850" w:right="850" w:bottom="1417" w:left="850" w:header="708" w:footer="708" w:gutter="0"/>
          <w:pgNumType w:start="1"/>
          <w:cols w:space="708"/>
          <w:docGrid w:linePitch="360"/>
        </w:sectPr>
      </w:pPr>
      <w:r>
        <w:rPr>
          <w:rStyle w:val="Hyperlink"/>
          <w:rFonts w:ascii="Times New Roman" w:eastAsia="Times New Roman" w:hAnsi="Times New Roman" w:cs="Times New Roman"/>
          <w:b w:val="0"/>
          <w:i w:val="0"/>
          <w:caps w:val="0"/>
          <w:strike w:val="0"/>
          <w:color w:val="000000"/>
          <w:sz w:val="22"/>
          <w:u w:val="none" w:color="000000"/>
          <w:vertAlign w:val="baseline"/>
        </w:rPr>
        <w:fldChar w:fldCharType="begin"/>
      </w:r>
      <w:r>
        <w:rPr>
          <w:rStyle w:val="Hyperlink"/>
          <w:rFonts w:ascii="Times New Roman" w:eastAsia="Times New Roman" w:hAnsi="Times New Roman" w:cs="Times New Roman"/>
          <w:b w:val="0"/>
          <w:i w:val="0"/>
          <w:caps w:val="0"/>
          <w:strike w:val="0"/>
          <w:color w:val="000000"/>
          <w:sz w:val="22"/>
          <w:u w:val="none" w:color="000000"/>
          <w:vertAlign w:val="baseline"/>
        </w:rPr>
        <w:fldChar w:fldCharType="separate"/>
      </w:r>
      <w:r>
        <w:rPr>
          <w:rStyle w:val="Hyperlink"/>
          <w:rFonts w:ascii="Times New Roman" w:eastAsia="Times New Roman" w:hAnsi="Times New Roman" w:cs="Times New Roman"/>
          <w:b w:val="0"/>
          <w:i w:val="0"/>
          <w:caps w:val="0"/>
          <w:strike w:val="0"/>
          <w:color w:val="000000"/>
          <w:sz w:val="22"/>
          <w:u w:val="none" w:color="000000"/>
          <w:vertAlign w:val="baseline"/>
        </w:rPr>
        <w:fldChar w:fldCharType="end"/>
      </w:r>
      <w:r>
        <w:t>Załącznik Nr 2 do uchwały</w:t>
      </w:r>
      <w:r>
        <w:rPr>
          <w:rStyle w:val="Hyperlink"/>
          <w:rFonts w:ascii="Times New Roman" w:eastAsia="Times New Roman" w:hAnsi="Times New Roman" w:cs="Times New Roman"/>
          <w:b w:val="0"/>
          <w:i w:val="0"/>
          <w:caps w:val="0"/>
          <w:strike w:val="0"/>
          <w:color w:val="000000"/>
          <w:sz w:val="22"/>
          <w:u w:val="none" w:color="000000"/>
          <w:vertAlign w:val="baseline"/>
        </w:rPr>
        <w:t xml:space="preserve"> Nr XVIII/183/2020</w:t>
      </w:r>
      <w:r>
        <w:rPr>
          <w:rStyle w:val="Hyperlink"/>
          <w:rFonts w:ascii="Times New Roman" w:eastAsia="Times New Roman" w:hAnsi="Times New Roman" w:cs="Times New Roman"/>
          <w:b w:val="0"/>
          <w:i w:val="0"/>
          <w:caps w:val="0"/>
          <w:strike w:val="0"/>
          <w:color w:val="000000"/>
          <w:sz w:val="22"/>
          <w:u w:val="none" w:color="000000"/>
          <w:vertAlign w:val="baseline"/>
        </w:rPr>
        <w:br/>
      </w:r>
      <w:r>
        <w:t>Rady Powiatu Tarnogórskiego</w:t>
      </w:r>
      <w:r>
        <w:rPr>
          <w:rStyle w:val="Hyperlink"/>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sz w:val="22"/>
        </w:rPr>
        <w:t>z dnia 28 kwietnia 2020 r.</w:t>
      </w:r>
      <w:r>
        <w:rPr>
          <w:rStyle w:val="Hyperlink"/>
          <w:rFonts w:ascii="Times New Roman" w:eastAsia="Times New Roman" w:hAnsi="Times New Roman" w:cs="Times New Roman"/>
          <w:b w:val="0"/>
          <w:i w:val="0"/>
          <w:caps w:val="0"/>
          <w:strike w:val="0"/>
          <w:color w:val="000000"/>
          <w:sz w:val="22"/>
          <w:u w:val="none" w:color="000000"/>
          <w:vertAlign w:val="baseline"/>
        </w:rPr>
        <w:br/>
      </w:r>
      <w:r>
        <w:rPr>
          <w:rStyle w:val="Hyperlink"/>
          <w:rFonts w:ascii="Times New Roman" w:eastAsia="Times New Roman" w:hAnsi="Times New Roman" w:cs="Times New Roman"/>
          <w:b w:val="0"/>
          <w:i w:val="0"/>
          <w:caps w:val="0"/>
          <w:strike w:val="0"/>
          <w:color w:val="000000"/>
          <w:sz w:val="22"/>
          <w:u w:val="none" w:color="000000"/>
          <w:vertAlign w:val="baseline"/>
        </w:rPr>
        <w:fldChar w:fldCharType="begin"/>
      </w:r>
      <w:r>
        <w:rPr>
          <w:rStyle w:val="Hyperlink"/>
          <w:rFonts w:ascii="Times New Roman" w:eastAsia="Times New Roman" w:hAnsi="Times New Roman" w:cs="Times New Roman"/>
          <w:b w:val="0"/>
          <w:i w:val="0"/>
          <w:caps w:val="0"/>
          <w:strike w:val="0"/>
          <w:color w:val="000000"/>
          <w:sz w:val="22"/>
          <w:u w:val="none" w:color="000000"/>
          <w:vertAlign w:val="baseline"/>
        </w:rPr>
        <w:instrText xml:space="preserve"> HYPERLINK "Zalacznik2.pdf" </w:instrText>
      </w:r>
      <w:r>
        <w:rPr>
          <w:rStyle w:val="Hyperlink"/>
          <w:rFonts w:ascii="Times New Roman" w:eastAsia="Times New Roman" w:hAnsi="Times New Roman" w:cs="Times New Roman"/>
          <w:b w:val="0"/>
          <w:i w:val="0"/>
          <w:caps w:val="0"/>
          <w:strike w:val="0"/>
          <w:color w:val="000000"/>
          <w:sz w:val="22"/>
          <w:u w:val="none" w:color="000000"/>
          <w:vertAlign w:val="baseline"/>
        </w:rPr>
        <w:fldChar w:fldCharType="separate"/>
      </w:r>
      <w:r>
        <w:rPr>
          <w:rStyle w:val="Hyperlink"/>
          <w:rFonts w:ascii="Times New Roman" w:eastAsia="Times New Roman" w:hAnsi="Times New Roman" w:cs="Times New Roman"/>
          <w:b w:val="0"/>
          <w:i w:val="0"/>
          <w:caps w:val="0"/>
          <w:strike w:val="0"/>
          <w:color w:val="000000"/>
          <w:sz w:val="22"/>
          <w:u w:val="none" w:color="000000"/>
          <w:vertAlign w:val="baseline"/>
        </w:rPr>
        <w:t>Zalacznik2.pdf</w:t>
      </w:r>
      <w:r>
        <w:rPr>
          <w:rStyle w:val="Hyperlink"/>
          <w:rFonts w:ascii="Times New Roman" w:eastAsia="Times New Roman" w:hAnsi="Times New Roman" w:cs="Times New Roman"/>
          <w:b w:val="0"/>
          <w:i w:val="0"/>
          <w:caps w:val="0"/>
          <w:strike w:val="0"/>
          <w:color w:val="000000"/>
          <w:sz w:val="22"/>
          <w:u w:val="none" w:color="000000"/>
          <w:vertAlign w:val="baseline"/>
        </w:rPr>
        <w:fldChar w:fldCharType="end"/>
      </w:r>
    </w:p>
    <w:p w:rsidR="00A77B3E">
      <w:pPr>
        <w:keepNext/>
        <w:spacing w:before="120" w:after="120" w:line="360" w:lineRule="auto"/>
        <w:ind w:left="5339" w:right="0" w:firstLine="0"/>
        <w:jc w:val="left"/>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fldChar w:fldCharType="begin"/>
      </w:r>
      <w:r>
        <w:rPr>
          <w:rStyle w:val="Hyperlink"/>
          <w:rFonts w:ascii="Times New Roman" w:eastAsia="Times New Roman" w:hAnsi="Times New Roman" w:cs="Times New Roman"/>
          <w:b w:val="0"/>
          <w:i w:val="0"/>
          <w:caps w:val="0"/>
          <w:strike w:val="0"/>
          <w:color w:val="000000"/>
          <w:sz w:val="22"/>
          <w:u w:val="none" w:color="000000"/>
          <w:vertAlign w:val="baseline"/>
        </w:rPr>
        <w:fldChar w:fldCharType="separate"/>
      </w:r>
      <w:r>
        <w:rPr>
          <w:rStyle w:val="Hyperlink"/>
          <w:rFonts w:ascii="Times New Roman" w:eastAsia="Times New Roman" w:hAnsi="Times New Roman" w:cs="Times New Roman"/>
          <w:b w:val="0"/>
          <w:i w:val="0"/>
          <w:caps w:val="0"/>
          <w:strike w:val="0"/>
          <w:color w:val="000000"/>
          <w:sz w:val="22"/>
          <w:u w:val="none" w:color="000000"/>
          <w:vertAlign w:val="baseline"/>
        </w:rPr>
        <w:fldChar w:fldCharType="end"/>
      </w:r>
      <w:r>
        <w:rPr>
          <w:rStyle w:val="Hyperlink"/>
          <w:rFonts w:ascii="Times New Roman" w:eastAsia="Times New Roman" w:hAnsi="Times New Roman" w:cs="Times New Roman"/>
          <w:b w:val="0"/>
          <w:i w:val="0"/>
          <w:caps w:val="0"/>
          <w:strike w:val="0"/>
          <w:color w:val="000000"/>
          <w:sz w:val="22"/>
          <w:u w:val="none" w:color="000000"/>
          <w:vertAlign w:val="baseline"/>
        </w:rPr>
        <w:t>Załącznik nr</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3</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do uchwały nr XVIII/183/2020</w:t>
      </w:r>
      <w:r>
        <w:rPr>
          <w:rStyle w:val="Hyperlink"/>
          <w:rFonts w:ascii="Times New Roman" w:eastAsia="Times New Roman" w:hAnsi="Times New Roman" w:cs="Times New Roman"/>
          <w:b w:val="0"/>
          <w:i w:val="0"/>
          <w:caps w:val="0"/>
          <w:strike w:val="0"/>
          <w:color w:val="000000"/>
          <w:sz w:val="22"/>
          <w:u w:val="none" w:color="000000"/>
          <w:vertAlign w:val="baseline"/>
        </w:rPr>
        <w:br/>
      </w:r>
      <w:r>
        <w:rPr>
          <w:rStyle w:val="Hyperlink"/>
          <w:rFonts w:ascii="Times New Roman" w:eastAsia="Times New Roman" w:hAnsi="Times New Roman" w:cs="Times New Roman"/>
          <w:b w:val="0"/>
          <w:i w:val="0"/>
          <w:caps w:val="0"/>
          <w:strike w:val="0"/>
          <w:color w:val="000000"/>
          <w:sz w:val="22"/>
          <w:u w:val="none" w:color="000000"/>
          <w:vertAlign w:val="baseline"/>
        </w:rPr>
        <w:t>Rady Powiatu Tarnogórskiego</w:t>
      </w:r>
      <w:r>
        <w:rPr>
          <w:rStyle w:val="Hyperlink"/>
          <w:rFonts w:ascii="Times New Roman" w:eastAsia="Times New Roman" w:hAnsi="Times New Roman" w:cs="Times New Roman"/>
          <w:b w:val="0"/>
          <w:i w:val="0"/>
          <w:caps w:val="0"/>
          <w:strike w:val="0"/>
          <w:color w:val="000000"/>
          <w:sz w:val="22"/>
          <w:u w:val="none" w:color="000000"/>
          <w:vertAlign w:val="baseline"/>
        </w:rPr>
        <w:br/>
      </w:r>
      <w:r>
        <w:rPr>
          <w:rStyle w:val="Hyperlink"/>
          <w:rFonts w:ascii="Times New Roman" w:eastAsia="Times New Roman" w:hAnsi="Times New Roman" w:cs="Times New Roman"/>
          <w:b w:val="0"/>
          <w:i w:val="0"/>
          <w:caps w:val="0"/>
          <w:strike w:val="0"/>
          <w:color w:val="000000"/>
          <w:sz w:val="22"/>
          <w:u w:val="none" w:color="000000"/>
          <w:vertAlign w:val="baseline"/>
        </w:rPr>
        <w:t>z dnia 28</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kwietnia 2020</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i w:val="0"/>
          <w:caps w:val="0"/>
          <w:strike w:val="0"/>
          <w:color w:val="000000"/>
          <w:sz w:val="22"/>
          <w:u w:val="none" w:color="000000"/>
          <w:vertAlign w:val="baseline"/>
        </w:rPr>
        <w:t>Objaśnienia do zmian kategorii i</w:t>
      </w:r>
      <w:r>
        <w:rPr>
          <w:rStyle w:val="Hyperlink"/>
          <w:rFonts w:ascii="Times New Roman" w:eastAsia="Times New Roman" w:hAnsi="Times New Roman" w:cs="Times New Roman"/>
          <w:b/>
          <w:i w:val="0"/>
          <w:caps w:val="0"/>
          <w:strike w:val="0"/>
          <w:color w:val="000000"/>
          <w:sz w:val="22"/>
          <w:u w:val="none" w:color="000000"/>
          <w:vertAlign w:val="baseline"/>
        </w:rPr>
        <w:t> </w:t>
      </w:r>
      <w:r>
        <w:rPr>
          <w:rStyle w:val="Hyperlink"/>
          <w:rFonts w:ascii="Times New Roman" w:eastAsia="Times New Roman" w:hAnsi="Times New Roman" w:cs="Times New Roman"/>
          <w:b/>
          <w:i w:val="0"/>
          <w:caps w:val="0"/>
          <w:strike w:val="0"/>
          <w:color w:val="000000"/>
          <w:sz w:val="22"/>
          <w:u w:val="none" w:color="000000"/>
          <w:vertAlign w:val="baseline"/>
        </w:rPr>
        <w:t>wartości przyjętych w</w:t>
      </w:r>
      <w:r>
        <w:rPr>
          <w:rStyle w:val="Hyperlink"/>
          <w:rFonts w:ascii="Times New Roman" w:eastAsia="Times New Roman" w:hAnsi="Times New Roman" w:cs="Times New Roman"/>
          <w:b/>
          <w:i w:val="0"/>
          <w:caps w:val="0"/>
          <w:strike w:val="0"/>
          <w:color w:val="000000"/>
          <w:sz w:val="22"/>
          <w:u w:val="none" w:color="000000"/>
          <w:vertAlign w:val="baseline"/>
        </w:rPr>
        <w:t> </w:t>
      </w:r>
      <w:r>
        <w:rPr>
          <w:rStyle w:val="Hyperlink"/>
          <w:rFonts w:ascii="Times New Roman" w:eastAsia="Times New Roman" w:hAnsi="Times New Roman" w:cs="Times New Roman"/>
          <w:b/>
          <w:i w:val="0"/>
          <w:caps w:val="0"/>
          <w:strike w:val="0"/>
          <w:color w:val="000000"/>
          <w:sz w:val="22"/>
          <w:u w:val="none" w:color="000000"/>
          <w:vertAlign w:val="baseline"/>
        </w:rPr>
        <w:t>Wieloletniej Prognozie Finansowej Powiatu Tarnogórskiego na lata 2020</w:t>
      </w:r>
      <w:r>
        <w:rPr>
          <w:rStyle w:val="Hyperlink"/>
          <w:rFonts w:ascii="Times New Roman" w:eastAsia="Times New Roman" w:hAnsi="Times New Roman" w:cs="Times New Roman"/>
          <w:b/>
          <w:i w:val="0"/>
          <w:caps w:val="0"/>
          <w:strike w:val="0"/>
          <w:color w:val="000000"/>
          <w:sz w:val="22"/>
          <w:u w:val="none" w:color="000000"/>
          <w:vertAlign w:val="baseline"/>
        </w:rPr>
        <w:t> </w:t>
      </w:r>
      <w:r>
        <w:rPr>
          <w:rStyle w:val="Hyperlink"/>
          <w:rFonts w:ascii="Times New Roman" w:eastAsia="Times New Roman" w:hAnsi="Times New Roman" w:cs="Times New Roman"/>
          <w:b/>
          <w:i w:val="0"/>
          <w:caps w:val="0"/>
          <w:strike w:val="0"/>
          <w:color w:val="000000"/>
          <w:sz w:val="22"/>
          <w:u w:val="none" w:color="000000"/>
          <w:vertAlign w:val="baseline"/>
        </w:rPr>
        <w:t>– 2028</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Zmiany w prognozie i przedsięwzięciach wieloletnich mają na celu dostosowanie ich do zmian w budżecie dokonanych w miesiącach luty-kwiecień. Zmianie, w stosunku do poprzedniej prognozy uległy, wszystkie oprócz rozchodów, podstawowe kategorie roku bieżącego, a także wartość dochodów i wydatków w latach 2021-2022. Korekty dla roku bieżącego przedstawiono w poniższej tabeli.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763"/>
        <w:gridCol w:w="3066"/>
        <w:gridCol w:w="2669"/>
        <w:gridCol w:w="2161"/>
        <w:gridCol w:w="176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720" w:type="dxa"/>
            <w:tcBorders>
              <w:top w:val="single" w:sz="2" w:space="0" w:color="auto"/>
              <w:left w:val="single" w:sz="2" w:space="0" w:color="auto"/>
              <w:bottom w:val="single" w:sz="2" w:space="0" w:color="auto"/>
              <w:right w:val="single" w:sz="2" w:space="0" w:color="auto"/>
            </w:tcBorders>
            <w:noWrap w:val="0"/>
            <w:tcMar>
              <w:top w:w="0" w:type="dxa"/>
              <w:left w:w="108" w:type="dxa"/>
              <w:bottom w:w="0" w:type="dxa"/>
              <w:right w:w="108" w:type="dxa"/>
            </w:tcMar>
            <w:textDirection w:val="lrTb"/>
            <w:vAlign w:val="top"/>
          </w:tcPr>
          <w:p w:rsidR="00A77B3E">
            <w:pPr>
              <w:spacing w:before="0" w:after="0"/>
              <w:jc w:val="center"/>
              <w:rPr>
                <w:rStyle w:val="Hyperlink"/>
                <w:rFonts w:ascii="Times New Roman" w:eastAsia="Times New Roman" w:hAnsi="Times New Roman" w:cs="Times New Roman"/>
                <w:b w:val="0"/>
                <w:i w:val="0"/>
                <w:caps w:val="0"/>
                <w:strike w:val="0"/>
                <w:color w:val="000000"/>
                <w:sz w:val="22"/>
                <w:u w:val="none" w:color="000000"/>
                <w:vertAlign w:val="baseline"/>
              </w:rPr>
            </w:pPr>
            <w:r>
              <w:rPr>
                <w:b/>
              </w:rPr>
              <w:t>Lp.</w:t>
            </w:r>
          </w:p>
        </w:tc>
        <w:tc>
          <w:tcPr>
            <w:tcW w:w="2895" w:type="dxa"/>
            <w:tcBorders>
              <w:top w:val="single" w:sz="2" w:space="0" w:color="auto"/>
              <w:left w:val="nil"/>
              <w:bottom w:val="single" w:sz="2" w:space="0" w:color="auto"/>
              <w:right w:val="single" w:sz="2" w:space="0" w:color="auto"/>
            </w:tcBorders>
            <w:noWrap w:val="0"/>
            <w:tcMar>
              <w:top w:w="0" w:type="dxa"/>
              <w:left w:w="108" w:type="dxa"/>
              <w:bottom w:w="0" w:type="dxa"/>
              <w:right w:w="108" w:type="dxa"/>
            </w:tcMar>
            <w:textDirection w:val="lrTb"/>
            <w:vAlign w:val="top"/>
          </w:tcPr>
          <w:p w:rsidR="00A77B3E">
            <w:pPr>
              <w:spacing w:before="0" w:after="0"/>
              <w:jc w:val="center"/>
              <w:rPr>
                <w:rStyle w:val="Hyperlink"/>
                <w:rFonts w:ascii="Times New Roman" w:eastAsia="Times New Roman" w:hAnsi="Times New Roman" w:cs="Times New Roman"/>
                <w:b w:val="0"/>
                <w:i w:val="0"/>
                <w:caps w:val="0"/>
                <w:strike w:val="0"/>
                <w:color w:val="000000"/>
                <w:sz w:val="22"/>
                <w:u w:val="none" w:color="000000"/>
                <w:vertAlign w:val="baseline"/>
              </w:rPr>
            </w:pPr>
            <w:r>
              <w:rPr>
                <w:b/>
              </w:rPr>
              <w:t>Tytuł pozycji</w:t>
            </w:r>
          </w:p>
        </w:tc>
        <w:tc>
          <w:tcPr>
            <w:tcW w:w="2520" w:type="dxa"/>
            <w:tcBorders>
              <w:top w:val="single" w:sz="2" w:space="0" w:color="auto"/>
              <w:left w:val="nil"/>
              <w:bottom w:val="single" w:sz="2" w:space="0" w:color="auto"/>
              <w:right w:val="single" w:sz="2" w:space="0" w:color="auto"/>
            </w:tcBorders>
            <w:noWrap w:val="0"/>
            <w:tcMar>
              <w:top w:w="0" w:type="dxa"/>
              <w:left w:w="108" w:type="dxa"/>
              <w:bottom w:w="0" w:type="dxa"/>
              <w:right w:w="108" w:type="dxa"/>
            </w:tcMar>
            <w:textDirection w:val="lrTb"/>
            <w:vAlign w:val="top"/>
          </w:tcPr>
          <w:p w:rsidR="00A77B3E">
            <w:pPr>
              <w:spacing w:before="0" w:after="0"/>
              <w:jc w:val="center"/>
              <w:rPr>
                <w:rStyle w:val="Hyperlink"/>
                <w:rFonts w:ascii="Times New Roman" w:eastAsia="Times New Roman" w:hAnsi="Times New Roman" w:cs="Times New Roman"/>
                <w:b w:val="0"/>
                <w:i w:val="0"/>
                <w:caps w:val="0"/>
                <w:strike w:val="0"/>
                <w:color w:val="000000"/>
                <w:sz w:val="22"/>
                <w:u w:val="none" w:color="000000"/>
                <w:vertAlign w:val="baseline"/>
              </w:rPr>
            </w:pPr>
            <w:r>
              <w:rPr>
                <w:b/>
              </w:rPr>
              <w:t xml:space="preserve">Wartość WPF z poprzedniej prognozy z dnia 25.02.2020r. </w:t>
            </w:r>
          </w:p>
        </w:tc>
        <w:tc>
          <w:tcPr>
            <w:tcW w:w="2040" w:type="dxa"/>
            <w:tcBorders>
              <w:top w:val="single" w:sz="2" w:space="0" w:color="auto"/>
              <w:left w:val="single" w:sz="2" w:space="0" w:color="auto"/>
              <w:bottom w:val="single" w:sz="2" w:space="0" w:color="auto"/>
              <w:right w:val="single" w:sz="2" w:space="0" w:color="auto"/>
            </w:tcBorders>
            <w:noWrap w:val="0"/>
            <w:tcMar>
              <w:top w:w="0" w:type="dxa"/>
              <w:left w:w="108" w:type="dxa"/>
              <w:bottom w:w="0" w:type="dxa"/>
              <w:right w:w="108" w:type="dxa"/>
            </w:tcMar>
            <w:textDirection w:val="lrTb"/>
            <w:vAlign w:val="top"/>
          </w:tcPr>
          <w:p w:rsidR="00A77B3E">
            <w:pPr>
              <w:spacing w:before="0" w:after="0"/>
              <w:jc w:val="center"/>
              <w:rPr>
                <w:rStyle w:val="Hyperlink"/>
                <w:rFonts w:ascii="Times New Roman" w:eastAsia="Times New Roman" w:hAnsi="Times New Roman" w:cs="Times New Roman"/>
                <w:b w:val="0"/>
                <w:i w:val="0"/>
                <w:caps w:val="0"/>
                <w:strike w:val="0"/>
                <w:color w:val="000000"/>
                <w:sz w:val="22"/>
                <w:u w:val="none" w:color="000000"/>
                <w:vertAlign w:val="baseline"/>
              </w:rPr>
            </w:pPr>
            <w:r>
              <w:rPr>
                <w:b/>
              </w:rPr>
              <w:t>Wartość WPF z obecnej uchwały</w:t>
            </w:r>
          </w:p>
        </w:tc>
        <w:tc>
          <w:tcPr>
            <w:tcW w:w="1665" w:type="dxa"/>
            <w:tcBorders>
              <w:top w:val="single" w:sz="2" w:space="0" w:color="auto"/>
              <w:left w:val="nil"/>
              <w:bottom w:val="single" w:sz="2" w:space="0" w:color="auto"/>
              <w:right w:val="single" w:sz="2" w:space="0" w:color="auto"/>
            </w:tcBorders>
            <w:noWrap w:val="0"/>
            <w:tcMar>
              <w:top w:w="0" w:type="dxa"/>
              <w:left w:w="108" w:type="dxa"/>
              <w:bottom w:w="0" w:type="dxa"/>
              <w:right w:w="108" w:type="dxa"/>
            </w:tcMar>
            <w:textDirection w:val="lrTb"/>
            <w:vAlign w:val="top"/>
          </w:tcPr>
          <w:p w:rsidR="00A77B3E">
            <w:pPr>
              <w:spacing w:before="0" w:after="0"/>
              <w:jc w:val="center"/>
              <w:rPr>
                <w:rStyle w:val="Hyperlink"/>
                <w:rFonts w:ascii="Times New Roman" w:eastAsia="Times New Roman" w:hAnsi="Times New Roman" w:cs="Times New Roman"/>
                <w:b w:val="0"/>
                <w:i w:val="0"/>
                <w:caps w:val="0"/>
                <w:strike w:val="0"/>
                <w:color w:val="000000"/>
                <w:sz w:val="22"/>
                <w:u w:val="none" w:color="000000"/>
                <w:vertAlign w:val="baseline"/>
              </w:rPr>
            </w:pPr>
            <w:r>
              <w:rPr>
                <w:b/>
              </w:rPr>
              <w:t>Różnica</w:t>
            </w:r>
          </w:p>
        </w:tc>
      </w:tr>
      <w:tr>
        <w:tblPrEx>
          <w:tblW w:w="5000" w:type="pct"/>
          <w:tblLayout w:type="fixed"/>
          <w:tblCellMar>
            <w:left w:w="108" w:type="dxa"/>
            <w:right w:w="108" w:type="dxa"/>
          </w:tblCellMar>
        </w:tblPrEx>
        <w:trPr>
          <w:trHeight w:hRule="auto" w:val="0"/>
        </w:trPr>
        <w:tc>
          <w:tcPr>
            <w:tcW w:w="720" w:type="dxa"/>
            <w:tcBorders>
              <w:top w:val="nil"/>
              <w:left w:val="single" w:sz="2" w:space="0" w:color="auto"/>
              <w:bottom w:val="single" w:sz="2" w:space="0" w:color="auto"/>
              <w:right w:val="single" w:sz="2" w:space="0" w:color="auto"/>
            </w:tcBorders>
            <w:noWrap w:val="0"/>
            <w:tcMar>
              <w:top w:w="0" w:type="dxa"/>
              <w:left w:w="108" w:type="dxa"/>
              <w:bottom w:w="0" w:type="dxa"/>
              <w:right w:w="108" w:type="dxa"/>
            </w:tcMar>
            <w:textDirection w:val="lrTb"/>
            <w:vAlign w:val="bottom"/>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t>1</w:t>
            </w:r>
          </w:p>
        </w:tc>
        <w:tc>
          <w:tcPr>
            <w:tcW w:w="2895" w:type="dxa"/>
            <w:tcBorders>
              <w:top w:val="nil"/>
              <w:left w:val="nil"/>
              <w:bottom w:val="single" w:sz="2" w:space="0" w:color="auto"/>
              <w:right w:val="single" w:sz="2" w:space="0" w:color="auto"/>
            </w:tcBorders>
            <w:noWrap w:val="0"/>
            <w:tcMar>
              <w:top w:w="0" w:type="dxa"/>
              <w:left w:w="108" w:type="dxa"/>
              <w:bottom w:w="0" w:type="dxa"/>
              <w:right w:w="108" w:type="dxa"/>
            </w:tcMar>
            <w:textDirection w:val="lrTb"/>
            <w:vAlign w:val="center"/>
          </w:tcPr>
          <w:p w:rsidR="00A77B3E">
            <w:pPr>
              <w:spacing w:before="0" w:after="0"/>
              <w:jc w:val="both"/>
              <w:rPr>
                <w:rStyle w:val="Hyperlink"/>
                <w:rFonts w:ascii="Times New Roman" w:eastAsia="Times New Roman" w:hAnsi="Times New Roman" w:cs="Times New Roman"/>
                <w:b w:val="0"/>
                <w:i w:val="0"/>
                <w:caps w:val="0"/>
                <w:strike w:val="0"/>
                <w:color w:val="000000"/>
                <w:sz w:val="22"/>
                <w:u w:val="none" w:color="000000"/>
                <w:vertAlign w:val="baseline"/>
              </w:rPr>
            </w:pPr>
            <w:r>
              <w:t>Ogółem dochody</w:t>
            </w:r>
          </w:p>
        </w:tc>
        <w:tc>
          <w:tcPr>
            <w:tcW w:w="2520" w:type="dxa"/>
            <w:tcBorders>
              <w:top w:val="single" w:sz="2" w:space="0" w:color="auto"/>
              <w:left w:val="nil"/>
              <w:bottom w:val="single" w:sz="2" w:space="0" w:color="auto"/>
              <w:right w:val="single" w:sz="2" w:space="0" w:color="auto"/>
            </w:tcBorders>
            <w:noWrap w:val="0"/>
            <w:tcMar>
              <w:top w:w="0" w:type="dxa"/>
              <w:left w:w="108" w:type="dxa"/>
              <w:bottom w:w="0" w:type="dxa"/>
              <w:right w:w="108" w:type="dxa"/>
            </w:tcMar>
            <w:textDirection w:val="lrTb"/>
            <w:vAlign w:val="bottom"/>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t>190</w:t>
            </w:r>
            <w:r>
              <w:t> </w:t>
            </w:r>
            <w:r>
              <w:t>614</w:t>
            </w:r>
            <w:r>
              <w:t> </w:t>
            </w:r>
            <w:r>
              <w:t>645,00</w:t>
            </w:r>
          </w:p>
        </w:tc>
        <w:tc>
          <w:tcPr>
            <w:tcW w:w="2040" w:type="dxa"/>
            <w:tcBorders>
              <w:top w:val="single" w:sz="2" w:space="0" w:color="auto"/>
              <w:left w:val="single" w:sz="2" w:space="0" w:color="auto"/>
              <w:bottom w:val="single" w:sz="2" w:space="0" w:color="auto"/>
              <w:right w:val="single" w:sz="2" w:space="0" w:color="auto"/>
            </w:tcBorders>
            <w:noWrap w:val="0"/>
            <w:tcMar>
              <w:top w:w="0" w:type="dxa"/>
              <w:left w:w="108" w:type="dxa"/>
              <w:bottom w:w="0" w:type="dxa"/>
              <w:right w:w="108" w:type="dxa"/>
            </w:tcMar>
            <w:textDirection w:val="lrTb"/>
            <w:vAlign w:val="bottom"/>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t>191</w:t>
            </w:r>
            <w:r>
              <w:t> </w:t>
            </w:r>
            <w:r>
              <w:t>328</w:t>
            </w:r>
            <w:r>
              <w:t> </w:t>
            </w:r>
            <w:r>
              <w:t>969,00</w:t>
            </w:r>
          </w:p>
        </w:tc>
        <w:tc>
          <w:tcPr>
            <w:tcW w:w="1665" w:type="dxa"/>
            <w:tcBorders>
              <w:top w:val="nil"/>
              <w:left w:val="nil"/>
              <w:bottom w:val="single" w:sz="2" w:space="0" w:color="auto"/>
              <w:right w:val="single" w:sz="2" w:space="0" w:color="auto"/>
            </w:tcBorders>
            <w:noWrap w:val="0"/>
            <w:tcMar>
              <w:top w:w="0" w:type="dxa"/>
              <w:left w:w="108" w:type="dxa"/>
              <w:bottom w:w="0" w:type="dxa"/>
              <w:right w:w="108" w:type="dxa"/>
            </w:tcMar>
            <w:textDirection w:val="lrTb"/>
            <w:vAlign w:val="bottom"/>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t>714</w:t>
            </w:r>
            <w:r>
              <w:t> </w:t>
            </w:r>
            <w:r>
              <w:t>324,00</w:t>
            </w:r>
          </w:p>
        </w:tc>
      </w:tr>
      <w:tr>
        <w:tblPrEx>
          <w:tblW w:w="5000" w:type="pct"/>
          <w:tblLayout w:type="fixed"/>
          <w:tblCellMar>
            <w:left w:w="108" w:type="dxa"/>
            <w:right w:w="108" w:type="dxa"/>
          </w:tblCellMar>
        </w:tblPrEx>
        <w:trPr>
          <w:trHeight w:hRule="auto" w:val="0"/>
        </w:trPr>
        <w:tc>
          <w:tcPr>
            <w:tcW w:w="720" w:type="dxa"/>
            <w:tcBorders>
              <w:top w:val="nil"/>
              <w:left w:val="single" w:sz="2" w:space="0" w:color="auto"/>
              <w:bottom w:val="single" w:sz="2" w:space="0" w:color="auto"/>
              <w:right w:val="single" w:sz="2" w:space="0" w:color="auto"/>
            </w:tcBorders>
            <w:noWrap w:val="0"/>
            <w:tcMar>
              <w:top w:w="0" w:type="dxa"/>
              <w:left w:w="108" w:type="dxa"/>
              <w:bottom w:w="0" w:type="dxa"/>
              <w:right w:w="108" w:type="dxa"/>
            </w:tcMar>
            <w:textDirection w:val="lrTb"/>
            <w:vAlign w:val="bottom"/>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t>2</w:t>
            </w:r>
          </w:p>
        </w:tc>
        <w:tc>
          <w:tcPr>
            <w:tcW w:w="2895" w:type="dxa"/>
            <w:tcBorders>
              <w:top w:val="nil"/>
              <w:left w:val="nil"/>
              <w:bottom w:val="single" w:sz="2" w:space="0" w:color="auto"/>
              <w:right w:val="single" w:sz="2" w:space="0" w:color="auto"/>
            </w:tcBorders>
            <w:noWrap w:val="0"/>
            <w:tcMar>
              <w:top w:w="0" w:type="dxa"/>
              <w:left w:w="108" w:type="dxa"/>
              <w:bottom w:w="0" w:type="dxa"/>
              <w:right w:w="108" w:type="dxa"/>
            </w:tcMar>
            <w:textDirection w:val="lrTb"/>
            <w:vAlign w:val="center"/>
          </w:tcPr>
          <w:p w:rsidR="00A77B3E">
            <w:pPr>
              <w:spacing w:before="0" w:after="0"/>
              <w:jc w:val="both"/>
              <w:rPr>
                <w:rStyle w:val="Hyperlink"/>
                <w:rFonts w:ascii="Times New Roman" w:eastAsia="Times New Roman" w:hAnsi="Times New Roman" w:cs="Times New Roman"/>
                <w:b w:val="0"/>
                <w:i w:val="0"/>
                <w:caps w:val="0"/>
                <w:strike w:val="0"/>
                <w:color w:val="000000"/>
                <w:sz w:val="22"/>
                <w:u w:val="none" w:color="000000"/>
                <w:vertAlign w:val="baseline"/>
              </w:rPr>
            </w:pPr>
            <w:r>
              <w:t>Ogółem wydatki</w:t>
            </w:r>
          </w:p>
        </w:tc>
        <w:tc>
          <w:tcPr>
            <w:tcW w:w="2520" w:type="dxa"/>
            <w:tcBorders>
              <w:top w:val="single" w:sz="2" w:space="0" w:color="auto"/>
              <w:left w:val="nil"/>
              <w:bottom w:val="single" w:sz="2" w:space="0" w:color="auto"/>
              <w:right w:val="single" w:sz="2" w:space="0" w:color="auto"/>
            </w:tcBorders>
            <w:noWrap w:val="0"/>
            <w:tcMar>
              <w:top w:w="0" w:type="dxa"/>
              <w:left w:w="108" w:type="dxa"/>
              <w:bottom w:w="0" w:type="dxa"/>
              <w:right w:w="108" w:type="dxa"/>
            </w:tcMar>
            <w:textDirection w:val="lrTb"/>
            <w:vAlign w:val="bottom"/>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t>204</w:t>
            </w:r>
            <w:r>
              <w:t> </w:t>
            </w:r>
            <w:r>
              <w:t>420</w:t>
            </w:r>
            <w:r>
              <w:t> </w:t>
            </w:r>
            <w:r>
              <w:t>153,00</w:t>
            </w:r>
          </w:p>
        </w:tc>
        <w:tc>
          <w:tcPr>
            <w:tcW w:w="2040" w:type="dxa"/>
            <w:tcBorders>
              <w:top w:val="single" w:sz="2" w:space="0" w:color="auto"/>
              <w:left w:val="single" w:sz="2" w:space="0" w:color="auto"/>
              <w:bottom w:val="single" w:sz="2" w:space="0" w:color="auto"/>
              <w:right w:val="single" w:sz="2" w:space="0" w:color="auto"/>
            </w:tcBorders>
            <w:noWrap w:val="0"/>
            <w:tcMar>
              <w:top w:w="0" w:type="dxa"/>
              <w:left w:w="108" w:type="dxa"/>
              <w:bottom w:w="0" w:type="dxa"/>
              <w:right w:w="108" w:type="dxa"/>
            </w:tcMar>
            <w:textDirection w:val="lrTb"/>
            <w:vAlign w:val="bottom"/>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t>205</w:t>
            </w:r>
            <w:r>
              <w:t> </w:t>
            </w:r>
            <w:r>
              <w:t>196</w:t>
            </w:r>
            <w:r>
              <w:t> </w:t>
            </w:r>
            <w:r>
              <w:t>667,00</w:t>
            </w:r>
          </w:p>
        </w:tc>
        <w:tc>
          <w:tcPr>
            <w:tcW w:w="1665" w:type="dxa"/>
            <w:tcBorders>
              <w:top w:val="nil"/>
              <w:left w:val="nil"/>
              <w:bottom w:val="single" w:sz="2" w:space="0" w:color="auto"/>
              <w:right w:val="single" w:sz="2" w:space="0" w:color="auto"/>
            </w:tcBorders>
            <w:noWrap w:val="0"/>
            <w:tcMar>
              <w:top w:w="0" w:type="dxa"/>
              <w:left w:w="108" w:type="dxa"/>
              <w:bottom w:w="0" w:type="dxa"/>
              <w:right w:w="108" w:type="dxa"/>
            </w:tcMar>
            <w:textDirection w:val="lrTb"/>
            <w:vAlign w:val="bottom"/>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t>776</w:t>
            </w:r>
            <w:r>
              <w:t> </w:t>
            </w:r>
            <w:r>
              <w:t>514,00</w:t>
            </w:r>
          </w:p>
        </w:tc>
      </w:tr>
      <w:tr>
        <w:tblPrEx>
          <w:tblW w:w="5000" w:type="pct"/>
          <w:tblLayout w:type="fixed"/>
          <w:tblCellMar>
            <w:left w:w="108" w:type="dxa"/>
            <w:right w:w="108" w:type="dxa"/>
          </w:tblCellMar>
        </w:tblPrEx>
        <w:trPr>
          <w:trHeight w:hRule="auto" w:val="0"/>
        </w:trPr>
        <w:tc>
          <w:tcPr>
            <w:tcW w:w="720" w:type="dxa"/>
            <w:tcBorders>
              <w:top w:val="nil"/>
              <w:left w:val="single" w:sz="2" w:space="0" w:color="auto"/>
              <w:bottom w:val="single" w:sz="2" w:space="0" w:color="auto"/>
              <w:right w:val="single" w:sz="2" w:space="0" w:color="auto"/>
            </w:tcBorders>
            <w:noWrap w:val="0"/>
            <w:tcMar>
              <w:top w:w="0" w:type="dxa"/>
              <w:left w:w="108" w:type="dxa"/>
              <w:bottom w:w="0" w:type="dxa"/>
              <w:right w:w="108" w:type="dxa"/>
            </w:tcMar>
            <w:textDirection w:val="lrTb"/>
            <w:vAlign w:val="bottom"/>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t>3</w:t>
            </w:r>
          </w:p>
        </w:tc>
        <w:tc>
          <w:tcPr>
            <w:tcW w:w="2895" w:type="dxa"/>
            <w:tcBorders>
              <w:top w:val="nil"/>
              <w:left w:val="nil"/>
              <w:bottom w:val="single" w:sz="2" w:space="0" w:color="auto"/>
              <w:right w:val="single" w:sz="2" w:space="0" w:color="auto"/>
            </w:tcBorders>
            <w:noWrap w:val="0"/>
            <w:tcMar>
              <w:top w:w="0" w:type="dxa"/>
              <w:left w:w="108" w:type="dxa"/>
              <w:bottom w:w="0" w:type="dxa"/>
              <w:right w:w="108" w:type="dxa"/>
            </w:tcMar>
            <w:textDirection w:val="lrTb"/>
            <w:vAlign w:val="center"/>
          </w:tcPr>
          <w:p w:rsidR="00A77B3E">
            <w:pPr>
              <w:spacing w:before="0" w:after="0"/>
              <w:jc w:val="both"/>
              <w:rPr>
                <w:rStyle w:val="Hyperlink"/>
                <w:rFonts w:ascii="Times New Roman" w:eastAsia="Times New Roman" w:hAnsi="Times New Roman" w:cs="Times New Roman"/>
                <w:b w:val="0"/>
                <w:i w:val="0"/>
                <w:caps w:val="0"/>
                <w:strike w:val="0"/>
                <w:color w:val="000000"/>
                <w:sz w:val="22"/>
                <w:u w:val="none" w:color="000000"/>
                <w:vertAlign w:val="baseline"/>
              </w:rPr>
            </w:pPr>
            <w:r>
              <w:t>Wynik budżetu (1-2)</w:t>
            </w:r>
          </w:p>
        </w:tc>
        <w:tc>
          <w:tcPr>
            <w:tcW w:w="2520" w:type="dxa"/>
            <w:tcBorders>
              <w:top w:val="single" w:sz="2" w:space="0" w:color="auto"/>
              <w:left w:val="nil"/>
              <w:bottom w:val="single" w:sz="2" w:space="0" w:color="auto"/>
              <w:right w:val="single" w:sz="2" w:space="0" w:color="auto"/>
            </w:tcBorders>
            <w:noWrap w:val="0"/>
            <w:tcMar>
              <w:top w:w="0" w:type="dxa"/>
              <w:left w:w="108" w:type="dxa"/>
              <w:bottom w:w="0" w:type="dxa"/>
              <w:right w:w="108" w:type="dxa"/>
            </w:tcMar>
            <w:textDirection w:val="lrTb"/>
            <w:vAlign w:val="bottom"/>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t>-13</w:t>
            </w:r>
            <w:r>
              <w:t> </w:t>
            </w:r>
            <w:r>
              <w:t>805</w:t>
            </w:r>
            <w:r>
              <w:t> </w:t>
            </w:r>
            <w:r>
              <w:t>508,00</w:t>
            </w:r>
          </w:p>
        </w:tc>
        <w:tc>
          <w:tcPr>
            <w:tcW w:w="2040" w:type="dxa"/>
            <w:tcBorders>
              <w:top w:val="single" w:sz="2" w:space="0" w:color="auto"/>
              <w:left w:val="single" w:sz="2" w:space="0" w:color="auto"/>
              <w:bottom w:val="single" w:sz="2" w:space="0" w:color="auto"/>
              <w:right w:val="single" w:sz="2" w:space="0" w:color="auto"/>
            </w:tcBorders>
            <w:noWrap w:val="0"/>
            <w:tcMar>
              <w:top w:w="0" w:type="dxa"/>
              <w:left w:w="108" w:type="dxa"/>
              <w:bottom w:w="0" w:type="dxa"/>
              <w:right w:w="108" w:type="dxa"/>
            </w:tcMar>
            <w:textDirection w:val="lrTb"/>
            <w:vAlign w:val="bottom"/>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t>-13</w:t>
            </w:r>
            <w:r>
              <w:t> </w:t>
            </w:r>
            <w:r>
              <w:t>867</w:t>
            </w:r>
            <w:r>
              <w:t> </w:t>
            </w:r>
            <w:r>
              <w:t>698,00</w:t>
            </w:r>
          </w:p>
        </w:tc>
        <w:tc>
          <w:tcPr>
            <w:tcW w:w="1665" w:type="dxa"/>
            <w:tcBorders>
              <w:top w:val="nil"/>
              <w:left w:val="nil"/>
              <w:bottom w:val="single" w:sz="2" w:space="0" w:color="auto"/>
              <w:right w:val="single" w:sz="2" w:space="0" w:color="auto"/>
            </w:tcBorders>
            <w:noWrap w:val="0"/>
            <w:tcMar>
              <w:top w:w="0" w:type="dxa"/>
              <w:left w:w="108" w:type="dxa"/>
              <w:bottom w:w="0" w:type="dxa"/>
              <w:right w:w="108" w:type="dxa"/>
            </w:tcMar>
            <w:textDirection w:val="lrTb"/>
            <w:vAlign w:val="bottom"/>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t>-62</w:t>
            </w:r>
            <w:r>
              <w:t> </w:t>
            </w:r>
            <w:r>
              <w:t>190,00</w:t>
            </w:r>
          </w:p>
        </w:tc>
      </w:tr>
      <w:tr>
        <w:tblPrEx>
          <w:tblW w:w="5000" w:type="pct"/>
          <w:tblLayout w:type="fixed"/>
          <w:tblCellMar>
            <w:left w:w="108" w:type="dxa"/>
            <w:right w:w="108" w:type="dxa"/>
          </w:tblCellMar>
        </w:tblPrEx>
        <w:trPr>
          <w:trHeight w:hRule="auto" w:val="0"/>
        </w:trPr>
        <w:tc>
          <w:tcPr>
            <w:tcW w:w="720" w:type="dxa"/>
            <w:tcBorders>
              <w:top w:val="nil"/>
              <w:left w:val="single" w:sz="2" w:space="0" w:color="auto"/>
              <w:bottom w:val="single" w:sz="2" w:space="0" w:color="auto"/>
              <w:right w:val="single" w:sz="2" w:space="0" w:color="auto"/>
            </w:tcBorders>
            <w:noWrap w:val="0"/>
            <w:tcMar>
              <w:top w:w="0" w:type="dxa"/>
              <w:left w:w="108" w:type="dxa"/>
              <w:bottom w:w="0" w:type="dxa"/>
              <w:right w:w="108" w:type="dxa"/>
            </w:tcMar>
            <w:textDirection w:val="lrTb"/>
            <w:vAlign w:val="bottom"/>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t>4</w:t>
            </w:r>
          </w:p>
        </w:tc>
        <w:tc>
          <w:tcPr>
            <w:tcW w:w="2895" w:type="dxa"/>
            <w:tcBorders>
              <w:top w:val="nil"/>
              <w:left w:val="nil"/>
              <w:bottom w:val="single" w:sz="2" w:space="0" w:color="auto"/>
              <w:right w:val="single" w:sz="2" w:space="0" w:color="auto"/>
            </w:tcBorders>
            <w:noWrap w:val="0"/>
            <w:tcMar>
              <w:top w:w="0" w:type="dxa"/>
              <w:left w:w="108" w:type="dxa"/>
              <w:bottom w:w="0" w:type="dxa"/>
              <w:right w:w="108" w:type="dxa"/>
            </w:tcMar>
            <w:textDirection w:val="lrTb"/>
            <w:vAlign w:val="center"/>
          </w:tcPr>
          <w:p w:rsidR="00A77B3E">
            <w:pPr>
              <w:spacing w:before="0" w:after="0"/>
              <w:jc w:val="both"/>
              <w:rPr>
                <w:rStyle w:val="Hyperlink"/>
                <w:rFonts w:ascii="Times New Roman" w:eastAsia="Times New Roman" w:hAnsi="Times New Roman" w:cs="Times New Roman"/>
                <w:b w:val="0"/>
                <w:i w:val="0"/>
                <w:caps w:val="0"/>
                <w:strike w:val="0"/>
                <w:color w:val="000000"/>
                <w:sz w:val="22"/>
                <w:u w:val="none" w:color="000000"/>
                <w:vertAlign w:val="baseline"/>
              </w:rPr>
            </w:pPr>
            <w:r>
              <w:t>Przychody ogółem</w:t>
            </w:r>
          </w:p>
        </w:tc>
        <w:tc>
          <w:tcPr>
            <w:tcW w:w="2520" w:type="dxa"/>
            <w:tcBorders>
              <w:top w:val="single" w:sz="2" w:space="0" w:color="auto"/>
              <w:left w:val="nil"/>
              <w:bottom w:val="single" w:sz="2" w:space="0" w:color="auto"/>
              <w:right w:val="single" w:sz="2" w:space="0" w:color="auto"/>
            </w:tcBorders>
            <w:noWrap w:val="0"/>
            <w:tcMar>
              <w:top w:w="0" w:type="dxa"/>
              <w:left w:w="108" w:type="dxa"/>
              <w:bottom w:w="0" w:type="dxa"/>
              <w:right w:w="108" w:type="dxa"/>
            </w:tcMar>
            <w:textDirection w:val="lrTb"/>
            <w:vAlign w:val="bottom"/>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t>16</w:t>
            </w:r>
            <w:r>
              <w:t> </w:t>
            </w:r>
            <w:r>
              <w:t>709</w:t>
            </w:r>
            <w:r>
              <w:t> </w:t>
            </w:r>
            <w:r>
              <w:t>508,00</w:t>
            </w:r>
          </w:p>
        </w:tc>
        <w:tc>
          <w:tcPr>
            <w:tcW w:w="2040" w:type="dxa"/>
            <w:tcBorders>
              <w:top w:val="single" w:sz="2" w:space="0" w:color="auto"/>
              <w:left w:val="single" w:sz="2" w:space="0" w:color="auto"/>
              <w:bottom w:val="single" w:sz="2" w:space="0" w:color="auto"/>
              <w:right w:val="single" w:sz="2" w:space="0" w:color="auto"/>
            </w:tcBorders>
            <w:noWrap w:val="0"/>
            <w:tcMar>
              <w:top w:w="0" w:type="dxa"/>
              <w:left w:w="108" w:type="dxa"/>
              <w:bottom w:w="0" w:type="dxa"/>
              <w:right w:w="108" w:type="dxa"/>
            </w:tcMar>
            <w:textDirection w:val="lrTb"/>
            <w:vAlign w:val="bottom"/>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t>16</w:t>
            </w:r>
            <w:r>
              <w:t> </w:t>
            </w:r>
            <w:r>
              <w:t>771</w:t>
            </w:r>
            <w:r>
              <w:t> </w:t>
            </w:r>
            <w:r>
              <w:t>698,00</w:t>
            </w:r>
          </w:p>
        </w:tc>
        <w:tc>
          <w:tcPr>
            <w:tcW w:w="1665" w:type="dxa"/>
            <w:tcBorders>
              <w:top w:val="nil"/>
              <w:left w:val="nil"/>
              <w:bottom w:val="single" w:sz="2" w:space="0" w:color="auto"/>
              <w:right w:val="single" w:sz="2" w:space="0" w:color="auto"/>
            </w:tcBorders>
            <w:noWrap w:val="0"/>
            <w:tcMar>
              <w:top w:w="0" w:type="dxa"/>
              <w:left w:w="108" w:type="dxa"/>
              <w:bottom w:w="0" w:type="dxa"/>
              <w:right w:w="108" w:type="dxa"/>
            </w:tcMar>
            <w:textDirection w:val="lrTb"/>
            <w:vAlign w:val="bottom"/>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t>62</w:t>
            </w:r>
            <w:r>
              <w:t> </w:t>
            </w:r>
            <w:r>
              <w:t>190,00</w:t>
            </w:r>
          </w:p>
        </w:tc>
      </w:tr>
      <w:tr>
        <w:tblPrEx>
          <w:tblW w:w="5000" w:type="pct"/>
          <w:tblLayout w:type="fixed"/>
          <w:tblCellMar>
            <w:left w:w="108" w:type="dxa"/>
            <w:right w:w="108" w:type="dxa"/>
          </w:tblCellMar>
        </w:tblPrEx>
        <w:trPr>
          <w:trHeight w:hRule="auto" w:val="0"/>
        </w:trPr>
        <w:tc>
          <w:tcPr>
            <w:tcW w:w="720" w:type="dxa"/>
            <w:tcBorders>
              <w:top w:val="nil"/>
              <w:left w:val="single" w:sz="2" w:space="0" w:color="auto"/>
              <w:bottom w:val="single" w:sz="2" w:space="0" w:color="auto"/>
              <w:right w:val="single" w:sz="2" w:space="0" w:color="auto"/>
            </w:tcBorders>
            <w:noWrap w:val="0"/>
            <w:tcMar>
              <w:top w:w="0" w:type="dxa"/>
              <w:left w:w="108" w:type="dxa"/>
              <w:bottom w:w="0" w:type="dxa"/>
              <w:right w:w="108" w:type="dxa"/>
            </w:tcMar>
            <w:textDirection w:val="lrTb"/>
            <w:vAlign w:val="bottom"/>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t>5</w:t>
            </w:r>
          </w:p>
        </w:tc>
        <w:tc>
          <w:tcPr>
            <w:tcW w:w="2895" w:type="dxa"/>
            <w:tcBorders>
              <w:top w:val="nil"/>
              <w:left w:val="nil"/>
              <w:bottom w:val="single" w:sz="2" w:space="0" w:color="auto"/>
              <w:right w:val="single" w:sz="2" w:space="0" w:color="auto"/>
            </w:tcBorders>
            <w:noWrap w:val="0"/>
            <w:tcMar>
              <w:top w:w="0" w:type="dxa"/>
              <w:left w:w="108" w:type="dxa"/>
              <w:bottom w:w="0" w:type="dxa"/>
              <w:right w:w="108" w:type="dxa"/>
            </w:tcMar>
            <w:textDirection w:val="lrTb"/>
            <w:vAlign w:val="center"/>
          </w:tcPr>
          <w:p w:rsidR="00A77B3E">
            <w:pPr>
              <w:spacing w:before="0" w:after="0"/>
              <w:jc w:val="both"/>
              <w:rPr>
                <w:rStyle w:val="Hyperlink"/>
                <w:rFonts w:ascii="Times New Roman" w:eastAsia="Times New Roman" w:hAnsi="Times New Roman" w:cs="Times New Roman"/>
                <w:b w:val="0"/>
                <w:i w:val="0"/>
                <w:caps w:val="0"/>
                <w:strike w:val="0"/>
                <w:color w:val="000000"/>
                <w:sz w:val="22"/>
                <w:u w:val="none" w:color="000000"/>
                <w:vertAlign w:val="baseline"/>
              </w:rPr>
            </w:pPr>
            <w:r>
              <w:t>Rozchody budżetu</w:t>
            </w:r>
          </w:p>
        </w:tc>
        <w:tc>
          <w:tcPr>
            <w:tcW w:w="2520" w:type="dxa"/>
            <w:tcBorders>
              <w:top w:val="single" w:sz="2" w:space="0" w:color="auto"/>
              <w:left w:val="nil"/>
              <w:bottom w:val="single" w:sz="2" w:space="0" w:color="auto"/>
              <w:right w:val="single" w:sz="2" w:space="0" w:color="auto"/>
            </w:tcBorders>
            <w:noWrap w:val="0"/>
            <w:tcMar>
              <w:top w:w="0" w:type="dxa"/>
              <w:left w:w="108" w:type="dxa"/>
              <w:bottom w:w="0" w:type="dxa"/>
              <w:right w:w="108" w:type="dxa"/>
            </w:tcMar>
            <w:textDirection w:val="lrTb"/>
            <w:vAlign w:val="bottom"/>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t>2</w:t>
            </w:r>
            <w:r>
              <w:t> </w:t>
            </w:r>
            <w:r>
              <w:t>904</w:t>
            </w:r>
            <w:r>
              <w:t> </w:t>
            </w:r>
            <w:r>
              <w:t>000,00</w:t>
            </w:r>
          </w:p>
        </w:tc>
        <w:tc>
          <w:tcPr>
            <w:tcW w:w="2040" w:type="dxa"/>
            <w:tcBorders>
              <w:top w:val="single" w:sz="2" w:space="0" w:color="auto"/>
              <w:left w:val="single" w:sz="2" w:space="0" w:color="auto"/>
              <w:bottom w:val="single" w:sz="2" w:space="0" w:color="auto"/>
              <w:right w:val="single" w:sz="2" w:space="0" w:color="auto"/>
            </w:tcBorders>
            <w:noWrap w:val="0"/>
            <w:tcMar>
              <w:top w:w="0" w:type="dxa"/>
              <w:left w:w="108" w:type="dxa"/>
              <w:bottom w:w="0" w:type="dxa"/>
              <w:right w:w="108" w:type="dxa"/>
            </w:tcMar>
            <w:textDirection w:val="lrTb"/>
            <w:vAlign w:val="bottom"/>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t>2</w:t>
            </w:r>
            <w:r>
              <w:t> </w:t>
            </w:r>
            <w:r>
              <w:t>904</w:t>
            </w:r>
            <w:r>
              <w:t> </w:t>
            </w:r>
            <w:r>
              <w:t>000,00</w:t>
            </w:r>
          </w:p>
        </w:tc>
        <w:tc>
          <w:tcPr>
            <w:tcW w:w="1665" w:type="dxa"/>
            <w:tcBorders>
              <w:top w:val="nil"/>
              <w:left w:val="nil"/>
              <w:bottom w:val="single" w:sz="2" w:space="0" w:color="auto"/>
              <w:right w:val="single" w:sz="2" w:space="0" w:color="auto"/>
            </w:tcBorders>
            <w:noWrap w:val="0"/>
            <w:tcMar>
              <w:top w:w="0" w:type="dxa"/>
              <w:left w:w="108" w:type="dxa"/>
              <w:bottom w:w="0" w:type="dxa"/>
              <w:right w:w="108" w:type="dxa"/>
            </w:tcMar>
            <w:textDirection w:val="lrTb"/>
            <w:vAlign w:val="bottom"/>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t>0,00</w:t>
            </w:r>
          </w:p>
        </w:tc>
      </w:tr>
      <w:tr>
        <w:tblPrEx>
          <w:tblW w:w="5000" w:type="pct"/>
          <w:tblLayout w:type="fixed"/>
          <w:tblCellMar>
            <w:left w:w="108" w:type="dxa"/>
            <w:right w:w="108" w:type="dxa"/>
          </w:tblCellMar>
        </w:tblPrEx>
        <w:trPr>
          <w:trHeight w:hRule="auto" w:val="0"/>
        </w:trPr>
        <w:tc>
          <w:tcPr>
            <w:tcW w:w="720" w:type="dxa"/>
            <w:tcBorders>
              <w:top w:val="nil"/>
              <w:left w:val="single" w:sz="2" w:space="0" w:color="auto"/>
              <w:bottom w:val="single" w:sz="2" w:space="0" w:color="auto"/>
              <w:right w:val="single" w:sz="2" w:space="0" w:color="auto"/>
            </w:tcBorders>
            <w:noWrap w:val="0"/>
            <w:tcMar>
              <w:top w:w="0" w:type="dxa"/>
              <w:left w:w="108" w:type="dxa"/>
              <w:bottom w:w="0" w:type="dxa"/>
              <w:right w:w="108" w:type="dxa"/>
            </w:tcMar>
            <w:textDirection w:val="lrTb"/>
            <w:vAlign w:val="center"/>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t>6</w:t>
            </w:r>
          </w:p>
        </w:tc>
        <w:tc>
          <w:tcPr>
            <w:tcW w:w="2895" w:type="dxa"/>
            <w:tcBorders>
              <w:top w:val="nil"/>
              <w:left w:val="nil"/>
              <w:bottom w:val="single" w:sz="2" w:space="0" w:color="auto"/>
              <w:right w:val="single" w:sz="2" w:space="0" w:color="auto"/>
            </w:tcBorders>
            <w:noWrap w:val="0"/>
            <w:tcMar>
              <w:top w:w="0" w:type="dxa"/>
              <w:left w:w="108" w:type="dxa"/>
              <w:bottom w:w="0" w:type="dxa"/>
              <w:right w:w="108" w:type="dxa"/>
            </w:tcMar>
            <w:textDirection w:val="lrTb"/>
            <w:vAlign w:val="center"/>
          </w:tcPr>
          <w:p w:rsidR="00A77B3E">
            <w:pPr>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Wynik operacyjny brutto =</w:t>
            </w:r>
            <w:r>
              <w:rPr>
                <w:rStyle w:val="Hyperlink"/>
                <w:rFonts w:ascii="Times New Roman" w:eastAsia="Times New Roman" w:hAnsi="Times New Roman" w:cs="Times New Roman"/>
                <w:b w:val="0"/>
                <w:i w:val="0"/>
                <w:caps w:val="0"/>
                <w:strike w:val="0"/>
                <w:color w:val="000000"/>
                <w:sz w:val="22"/>
                <w:u w:val="none" w:color="000000"/>
                <w:vertAlign w:val="baseline"/>
              </w:rPr>
              <w:br/>
            </w:r>
            <w:r>
              <w:rPr>
                <w:rStyle w:val="Hyperlink"/>
                <w:rFonts w:ascii="Times New Roman" w:eastAsia="Times New Roman" w:hAnsi="Times New Roman" w:cs="Times New Roman"/>
                <w:b w:val="0"/>
                <w:i w:val="0"/>
                <w:caps w:val="0"/>
                <w:strike w:val="0"/>
                <w:color w:val="000000"/>
                <w:sz w:val="22"/>
                <w:u w:val="none" w:color="000000"/>
                <w:vertAlign w:val="baseline"/>
              </w:rPr>
              <w:t>dochody bieżące - wydatki bieżące</w:t>
            </w:r>
          </w:p>
        </w:tc>
        <w:tc>
          <w:tcPr>
            <w:tcW w:w="2520" w:type="dxa"/>
            <w:tcBorders>
              <w:top w:val="single" w:sz="2" w:space="0" w:color="auto"/>
              <w:left w:val="nil"/>
              <w:bottom w:val="single" w:sz="2" w:space="0" w:color="auto"/>
              <w:right w:val="single" w:sz="2" w:space="0" w:color="auto"/>
            </w:tcBorders>
            <w:noWrap w:val="0"/>
            <w:tcMar>
              <w:top w:w="0" w:type="dxa"/>
              <w:left w:w="108" w:type="dxa"/>
              <w:bottom w:w="0" w:type="dxa"/>
              <w:right w:w="108" w:type="dxa"/>
            </w:tcMar>
            <w:textDirection w:val="lrTb"/>
            <w:vAlign w:val="center"/>
          </w:tcPr>
          <w:p w:rsidR="00A77B3E">
            <w:pPr>
              <w:jc w:val="right"/>
              <w:rPr>
                <w:rStyle w:val="Hyperlink"/>
                <w:rFonts w:ascii="Times New Roman" w:eastAsia="Times New Roman" w:hAnsi="Times New Roman" w:cs="Times New Roman"/>
                <w:b w:val="0"/>
                <w:i w:val="0"/>
                <w:caps w:val="0"/>
                <w:strike w:val="0"/>
                <w:color w:val="000000"/>
                <w:sz w:val="22"/>
                <w:u w:val="none" w:color="000000"/>
                <w:vertAlign w:val="baseline"/>
              </w:rPr>
            </w:pPr>
            <w:r>
              <w:t>6</w:t>
            </w:r>
            <w:r>
              <w:t> </w:t>
            </w:r>
            <w:r>
              <w:t>924</w:t>
            </w:r>
            <w:r>
              <w:t> </w:t>
            </w:r>
            <w:r>
              <w:t>729,00</w:t>
            </w:r>
          </w:p>
        </w:tc>
        <w:tc>
          <w:tcPr>
            <w:tcW w:w="2040" w:type="dxa"/>
            <w:tcBorders>
              <w:top w:val="single" w:sz="2" w:space="0" w:color="auto"/>
              <w:left w:val="single" w:sz="2" w:space="0" w:color="auto"/>
              <w:bottom w:val="single" w:sz="2" w:space="0" w:color="auto"/>
              <w:right w:val="single" w:sz="2" w:space="0" w:color="auto"/>
            </w:tcBorders>
            <w:noWrap w:val="0"/>
            <w:tcMar>
              <w:top w:w="0" w:type="dxa"/>
              <w:left w:w="108" w:type="dxa"/>
              <w:bottom w:w="0" w:type="dxa"/>
              <w:right w:w="108" w:type="dxa"/>
            </w:tcMar>
            <w:textDirection w:val="lrTb"/>
            <w:vAlign w:val="center"/>
          </w:tcPr>
          <w:p w:rsidR="00A77B3E">
            <w:pPr>
              <w:jc w:val="right"/>
              <w:rPr>
                <w:rStyle w:val="Hyperlink"/>
                <w:rFonts w:ascii="Times New Roman" w:eastAsia="Times New Roman" w:hAnsi="Times New Roman" w:cs="Times New Roman"/>
                <w:b w:val="0"/>
                <w:i w:val="0"/>
                <w:caps w:val="0"/>
                <w:strike w:val="0"/>
                <w:color w:val="000000"/>
                <w:sz w:val="22"/>
                <w:u w:val="none" w:color="000000"/>
                <w:vertAlign w:val="baseline"/>
              </w:rPr>
            </w:pPr>
            <w:r>
              <w:t>7</w:t>
            </w:r>
            <w:r>
              <w:t> </w:t>
            </w:r>
            <w:r>
              <w:t>281</w:t>
            </w:r>
            <w:r>
              <w:t> </w:t>
            </w:r>
            <w:r>
              <w:t>072,00</w:t>
            </w:r>
          </w:p>
        </w:tc>
        <w:tc>
          <w:tcPr>
            <w:tcW w:w="1665" w:type="dxa"/>
            <w:tcBorders>
              <w:top w:val="nil"/>
              <w:left w:val="nil"/>
              <w:bottom w:val="single" w:sz="2" w:space="0" w:color="auto"/>
              <w:right w:val="single" w:sz="2" w:space="0" w:color="auto"/>
            </w:tcBorders>
            <w:noWrap w:val="0"/>
            <w:tcMar>
              <w:top w:w="0" w:type="dxa"/>
              <w:left w:w="108" w:type="dxa"/>
              <w:bottom w:w="0" w:type="dxa"/>
              <w:right w:w="108" w:type="dxa"/>
            </w:tcMar>
            <w:textDirection w:val="lrTb"/>
            <w:vAlign w:val="center"/>
          </w:tcPr>
          <w:p w:rsidR="00A77B3E">
            <w:pPr>
              <w:jc w:val="right"/>
              <w:rPr>
                <w:rStyle w:val="Hyperlink"/>
                <w:rFonts w:ascii="Times New Roman" w:eastAsia="Times New Roman" w:hAnsi="Times New Roman" w:cs="Times New Roman"/>
                <w:b w:val="0"/>
                <w:i w:val="0"/>
                <w:caps w:val="0"/>
                <w:strike w:val="0"/>
                <w:color w:val="000000"/>
                <w:sz w:val="22"/>
                <w:u w:val="none" w:color="000000"/>
                <w:vertAlign w:val="baseline"/>
              </w:rPr>
            </w:pPr>
            <w:r>
              <w:t>356</w:t>
            </w:r>
            <w:r>
              <w:t> </w:t>
            </w:r>
            <w:r>
              <w:t>343,00</w:t>
            </w:r>
          </w:p>
        </w:tc>
      </w:tr>
    </w:tbl>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Jako przyczynę zaistniałych zmian po stronie dochodowej wskazać należy:</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Style w:val="Hyperlink"/>
          <w:rFonts w:ascii="Times New Roman" w:eastAsia="Times New Roman" w:hAnsi="Times New Roman" w:cs="Times New Roman"/>
          <w:b w:val="0"/>
          <w:i w:val="0"/>
          <w:caps w:val="0"/>
          <w:strike w:val="0"/>
          <w:color w:val="000000"/>
          <w:sz w:val="22"/>
          <w:u w:val="none" w:color="000000"/>
          <w:vertAlign w:val="baseline"/>
        </w:rPr>
        <w:t>otrzymanie od Ministra Finansów tzw. drugiej wersji wskaźników po uchwaleniu budżetu państwa. Ujemnej korekcie uległa tu wielkość części oświatowej subwencji ogólnej. Zrekompensowana ona została zmniejszonymi wydatkami przeznaczonymi na ewentualny zwrot nadmiernie pobranej subwencji oświatowej za lata 2014-2015;</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Style w:val="Hyperlink"/>
          <w:rFonts w:ascii="Times New Roman" w:eastAsia="Times New Roman" w:hAnsi="Times New Roman" w:cs="Times New Roman"/>
          <w:b w:val="0"/>
          <w:i w:val="0"/>
          <w:caps w:val="0"/>
          <w:strike w:val="0"/>
          <w:color w:val="000000"/>
          <w:sz w:val="22"/>
          <w:u w:val="none" w:color="000000"/>
          <w:vertAlign w:val="baseline"/>
        </w:rPr>
        <w:t>zwiększenie planu dotacji otrzymanych od Wojewody celem dofinansowania zadań zleconych w gospodarce nieruchomościami, straży pożarnej oraz Zespole ds. Orzekania o Niepełnosprawności;</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Style w:val="Hyperlink"/>
          <w:rFonts w:ascii="Times New Roman" w:eastAsia="Times New Roman" w:hAnsi="Times New Roman" w:cs="Times New Roman"/>
          <w:b w:val="0"/>
          <w:i w:val="0"/>
          <w:caps w:val="0"/>
          <w:strike w:val="0"/>
          <w:color w:val="000000"/>
          <w:sz w:val="22"/>
          <w:u w:val="none" w:color="000000"/>
          <w:vertAlign w:val="baseline"/>
        </w:rPr>
        <w:t>otrzymanie dofinansowania z Miasta Tarnowskie Góry na remont zabytkowych rzeźb zlokalizowanych przy Zespole Szkół Artystyczno-Projektowych;</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Style w:val="Hyperlink"/>
          <w:rFonts w:ascii="Times New Roman" w:eastAsia="Times New Roman" w:hAnsi="Times New Roman" w:cs="Times New Roman"/>
          <w:b w:val="0"/>
          <w:i w:val="0"/>
          <w:caps w:val="0"/>
          <w:strike w:val="0"/>
          <w:color w:val="000000"/>
          <w:sz w:val="22"/>
          <w:u w:val="none" w:color="000000"/>
          <w:vertAlign w:val="baseline"/>
        </w:rPr>
        <w:t>otrzymanie dofinansowania z budżetu Górnośląsko-Zagłębiowskiej Metropolii na zakup specjalistycznego sprzętu medycznego;</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Style w:val="Hyperlink"/>
          <w:rFonts w:ascii="Times New Roman" w:eastAsia="Times New Roman" w:hAnsi="Times New Roman" w:cs="Times New Roman"/>
          <w:b w:val="0"/>
          <w:i w:val="0"/>
          <w:caps w:val="0"/>
          <w:strike w:val="0"/>
          <w:color w:val="000000"/>
          <w:sz w:val="22"/>
          <w:u w:val="none" w:color="000000"/>
          <w:vertAlign w:val="baseline"/>
        </w:rPr>
        <w:t>otrzymanie wyższej niż zakładano kwoty z Funduszu Pracy na wynagrodzenia pracowników Powiatowego Urzędu Pracy;</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Style w:val="Hyperlink"/>
          <w:rFonts w:ascii="Times New Roman" w:eastAsia="Times New Roman" w:hAnsi="Times New Roman" w:cs="Times New Roman"/>
          <w:b w:val="0"/>
          <w:i w:val="0"/>
          <w:caps w:val="0"/>
          <w:strike w:val="0"/>
          <w:color w:val="000000"/>
          <w:sz w:val="22"/>
          <w:u w:val="none" w:color="000000"/>
          <w:vertAlign w:val="baseline"/>
        </w:rPr>
        <w:t>wygenerowanie dodatkowych dochodów w Starostwie Powiatowym oraz jednostkach podległych (dps-y).</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Zmiany w planie wydatków były rezultatem:</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Style w:val="Hyperlink"/>
          <w:rFonts w:ascii="Times New Roman" w:eastAsia="Times New Roman" w:hAnsi="Times New Roman" w:cs="Times New Roman"/>
          <w:b w:val="0"/>
          <w:i w:val="0"/>
          <w:caps w:val="0"/>
          <w:strike w:val="0"/>
          <w:color w:val="000000"/>
          <w:sz w:val="22"/>
          <w:u w:val="none" w:color="000000"/>
          <w:vertAlign w:val="baseline"/>
        </w:rPr>
        <w:t>zmian w planowanych dochodach, o których mowa powyżej;</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Style w:val="Hyperlink"/>
          <w:rFonts w:ascii="Times New Roman" w:eastAsia="Times New Roman" w:hAnsi="Times New Roman" w:cs="Times New Roman"/>
          <w:b w:val="0"/>
          <w:i w:val="0"/>
          <w:caps w:val="0"/>
          <w:strike w:val="0"/>
          <w:color w:val="000000"/>
          <w:sz w:val="22"/>
          <w:u w:val="none" w:color="000000"/>
          <w:vertAlign w:val="baseline"/>
        </w:rPr>
        <w:t>zaangażowania przychodów:</w:t>
      </w:r>
    </w:p>
    <w:p w:rsidR="00A77B3E">
      <w:pPr>
        <w:keepNext w:val="0"/>
        <w:keepLines w:val="0"/>
        <w:spacing w:before="120" w:after="120" w:line="240" w:lineRule="auto"/>
        <w:ind w:left="340" w:right="0" w:hanging="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Style w:val="Hyperlink"/>
          <w:rFonts w:ascii="Times New Roman" w:eastAsia="Times New Roman" w:hAnsi="Times New Roman" w:cs="Times New Roman"/>
          <w:b w:val="0"/>
          <w:i w:val="0"/>
          <w:caps w:val="0"/>
          <w:strike w:val="0"/>
          <w:color w:val="000000"/>
          <w:sz w:val="22"/>
          <w:u w:val="none" w:color="000000"/>
          <w:vertAlign w:val="baseline"/>
        </w:rPr>
        <w:t>celem dofinansowania projektów unijnych w oświacie, w związku z niepełną realizacją wydatków w latach ubiegłych;</w:t>
      </w:r>
    </w:p>
    <w:p w:rsidR="00A77B3E">
      <w:pPr>
        <w:keepNext w:val="0"/>
        <w:keepLines w:val="0"/>
        <w:spacing w:before="120" w:after="120" w:line="240" w:lineRule="auto"/>
        <w:ind w:left="340" w:right="0" w:hanging="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Style w:val="Hyperlink"/>
          <w:rFonts w:ascii="Times New Roman" w:eastAsia="Times New Roman" w:hAnsi="Times New Roman" w:cs="Times New Roman"/>
          <w:b w:val="0"/>
          <w:i w:val="0"/>
          <w:caps w:val="0"/>
          <w:strike w:val="0"/>
          <w:color w:val="000000"/>
          <w:sz w:val="22"/>
          <w:u w:val="none" w:color="000000"/>
          <w:vertAlign w:val="baseline"/>
        </w:rPr>
        <w:t>celem sfinansowania dokumentacji projektowej dla zadania termomodernizacji budynków Zespołu Szkół Budowlano-Architektonicznych;</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Style w:val="Hyperlink"/>
          <w:rFonts w:ascii="Times New Roman" w:eastAsia="Times New Roman" w:hAnsi="Times New Roman" w:cs="Times New Roman"/>
          <w:b w:val="0"/>
          <w:i w:val="0"/>
          <w:caps w:val="0"/>
          <w:strike w:val="0"/>
          <w:color w:val="000000"/>
          <w:sz w:val="22"/>
          <w:u w:val="none" w:color="000000"/>
          <w:vertAlign w:val="baseline"/>
        </w:rPr>
        <w:t>przeniesień pomiędzy poszczególnymi tytułami w grupie wydatków. Zabezpieczono między innymi środki na zwiększony odpis na ZFŚS, leasing samochodu na potrzeby Zarządu Dróg Powiatowych, roboty dodatkowe celem przebudowy sanitariatów w Zespole Szkół Technicznych i Ogólnokształcących oraz remont ogrodzenia przy Zespole Szkół Artystyczno-Projektowych. Zaangażowano ponadto środki z rezerwy utworzonej na podstawie ustawy o zarządzaniu kryzysowym na zakup materiałów i usług związanych ze zwalczaniem epidemii koronawirusa.</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W analizowanym okresie nie uległa zmianie wartość planowanych rozchodów roku 2020. Co zaś się tyczy lat 2021-2022 zwiększono plan dochodów i wydatków majątkowych o wartość planowanej do otrzymania dotacji strukturalnej na modernizację warsztatów szkolnych w Zespole Szkół Gastronomiczno-Hotelarskich oraz budowę warsztatów szkolnych w Zespole Szkół Budowlano-Architektonicznych (łącznie o 850 tys. zł w roku 2021 i 3</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400 tys. zł w roku 2022).Planuje się, iż w powyższych zadaniach dotacja strukturalna będzie stanowić do 85% wartości kosztorysowych przedsięwzięć. Jeśli zaś chodzi o pozostałą część wydatków majątkowych w obu zadaniach, finansowaną środkami własnymi, nie ma konieczności dokonania dodatkowych korekt w omawianych latach. Przy tworzeniu bowiem wieloletniej prognozy założono w latach przyszłych pewną rezerwę środków w segmencie majątkowym na wypadek przystąpienia do realizacji nowych zadań, wzrostu wartości kosztorysowej, czy też możliwości aplikowania o dodatkowe środki zewnętrzne.</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Dokonane zmiany pozytywnie wpłynęły na relacje ustawowe określone w art. 242 i 243 ustawy o finansach publicznych. A to generalnie w związku  przeniesieniami środków z planu wydatków bieżących na majątkowe oraz sfinansowaniem nowych wydatków majątkowych ponadplanowo wygenerowanymi dochodami bieżącymi. Podkreślenia wymaga fakt, iż obie analizowane relacje spełnione są, zarówno w roku obecnym, jak też i w latach przyszłych, ze stosunkowo bezpieczną nadwyżką.</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W wykazie przedsięwzięć stanowiącym załącznik nr 2 zaszły następujące zmiany:</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Style w:val="Hyperlink"/>
          <w:rFonts w:ascii="Times New Roman" w:eastAsia="Times New Roman" w:hAnsi="Times New Roman" w:cs="Times New Roman"/>
          <w:b w:val="0"/>
          <w:i w:val="0"/>
          <w:caps w:val="0"/>
          <w:strike w:val="0"/>
          <w:color w:val="000000"/>
          <w:sz w:val="22"/>
          <w:u w:val="none" w:color="000000"/>
          <w:vertAlign w:val="baseline"/>
        </w:rPr>
        <w:t>wprowadzono do wykazu zadanie inwestycyjne pod nazwą „Modernizacja warsztatów szkolnych w Zespole Szkół Gastronomiczno-Hotelarskich” realizowane w latach 2021-2022 przez Wydział Inwestycji i Drogownictwa w łącznej kwocie 2</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500</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000,00 zł. Zadanie to, dofinansowane środkami strukturalnymi, ma na celu poprawę komfortu kształcenia i wyników nauczania dzięki wykorzystaniu bardziej nowoczesnych metod i technologii;</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Style w:val="Hyperlink"/>
          <w:rFonts w:ascii="Times New Roman" w:eastAsia="Times New Roman" w:hAnsi="Times New Roman" w:cs="Times New Roman"/>
          <w:b w:val="0"/>
          <w:i w:val="0"/>
          <w:caps w:val="0"/>
          <w:strike w:val="0"/>
          <w:color w:val="000000"/>
          <w:sz w:val="22"/>
          <w:u w:val="none" w:color="000000"/>
          <w:vertAlign w:val="baseline"/>
        </w:rPr>
        <w:t>wprowadzono do wykazu zadanie inwestycyjne pod nazwą „Budowa warsztatów szkolnych w Zespole Szkół Budowlano-Architektonicznych” realizowane w latach 2021-2022 przez Wydział Inwestycji i Drogownictwa w łącznej kwocie 2</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500</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000,00 zł. Zadanie to, dofinansowane środkami strukturalnymi, ma na celu poprawę komfortu kształcenia i wyników nauczania dzięki wykorzystaniu bardziej nowoczesnych metod i technologii;</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Style w:val="Hyperlink"/>
          <w:rFonts w:ascii="Times New Roman" w:eastAsia="Times New Roman" w:hAnsi="Times New Roman" w:cs="Times New Roman"/>
          <w:b w:val="0"/>
          <w:i w:val="0"/>
          <w:caps w:val="0"/>
          <w:strike w:val="0"/>
          <w:color w:val="000000"/>
          <w:sz w:val="22"/>
          <w:u w:val="none" w:color="000000"/>
          <w:vertAlign w:val="baseline"/>
        </w:rPr>
        <w:t>wprowadzono do wykazu zadanie leasingu samochodu ciężarowego z wywrotką i hakiem na potrzeby Zarządu Dróg Powiatowych realizowane w latach 2020-2023 przez Wydział Inwestycji i Drogownictwa w łącznej kwocie 136</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700,00 zł. Zadanie to ma na celu poprawę infrastruktury drogowej i komfortu podróżowania;</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Style w:val="Hyperlink"/>
          <w:rFonts w:ascii="Times New Roman" w:eastAsia="Times New Roman" w:hAnsi="Times New Roman" w:cs="Times New Roman"/>
          <w:b w:val="0"/>
          <w:i w:val="0"/>
          <w:caps w:val="0"/>
          <w:strike w:val="0"/>
          <w:color w:val="000000"/>
          <w:sz w:val="22"/>
          <w:u w:val="none" w:color="000000"/>
          <w:vertAlign w:val="baseline"/>
        </w:rPr>
        <w:t>zwiększono o kwotę 23</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913,00 zł limit wydatków roku 2020 oraz łączną wartość zadania „Przebudowa pomieszczeń sanitarnych w Zespole Szkół Technicznych i Ogólnokształcących w Tarnowskich Górach” prowadzonego przez Wydział Inwestycji i Drogownictwa, w związku z koniecznością realizacji robót dodatkowych;</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Style w:val="Hyperlink"/>
          <w:rFonts w:ascii="Times New Roman" w:eastAsia="Times New Roman" w:hAnsi="Times New Roman" w:cs="Times New Roman"/>
          <w:b w:val="0"/>
          <w:i w:val="0"/>
          <w:caps w:val="0"/>
          <w:strike w:val="0"/>
          <w:color w:val="000000"/>
          <w:sz w:val="22"/>
          <w:u w:val="none" w:color="000000"/>
          <w:vertAlign w:val="baseline"/>
        </w:rPr>
        <w:t>zwiększono o kwotę 2</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000,00 zł limit wydatków roku 2020, nie zmieniając jednakże łącznej wysokości zaangażowanych środków, dla zadania „Innowacyjny staż krokiem w lepszą przyszłość” realizowanego przez Centrum Edukacji Ekonomiczno-Handlowej. Kwota ta stanowi wartość niewydatkowanych w roku 2019 środków;</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Style w:val="Hyperlink"/>
          <w:rFonts w:ascii="Times New Roman" w:eastAsia="Times New Roman" w:hAnsi="Times New Roman" w:cs="Times New Roman"/>
          <w:b w:val="0"/>
          <w:i w:val="0"/>
          <w:caps w:val="0"/>
          <w:strike w:val="0"/>
          <w:color w:val="000000"/>
          <w:sz w:val="22"/>
          <w:u w:val="none" w:color="000000"/>
          <w:vertAlign w:val="baseline"/>
        </w:rPr>
        <w:t>zwiększono o kwotę 190,00 zł limit wydatków roku 2020, nie zmieniając jednakże łącznej wysokości zaangażowanych środków, dla zadania „Ponadnarodowa mobilność uczniów i absolwentów oraz kadry kształcenia zawodowego” realizowanego przez Zespół Szkół Artystyczno-Projektowych. Kwota ta stanowi wartość niewydatkowanych w latach ubiegłych środków.</w:t>
      </w:r>
    </w:p>
    <w:sectPr>
      <w:footerReference w:type="default" r:id="rId8"/>
      <w:endnotePr>
        <w:numFmt w:val="decimal"/>
      </w:endnotePr>
      <w:type w:val="nextPage"/>
      <w:pgSz w:w="11906" w:h="16838"/>
      <w:pgMar w:top="850" w:right="850" w:bottom="1417" w:left="850"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single" w:sz="2" w:space="0" w:color="auto"/>
            <w:left w:val="nil"/>
            <w:bottom w:val="nil"/>
            <w:right w:val="nil"/>
          </w:tcBorders>
          <w:noWrap w:val="0"/>
          <w:tcMar>
            <w:top w:w="100" w:type="dxa"/>
            <w:left w:w="108" w:type="dxa"/>
            <w:bottom w:w="0" w:type="dxa"/>
            <w:right w:w="108" w:type="dxa"/>
          </w:tcMar>
          <w:textDirection w:val="lrTb"/>
          <w:vAlign w:val="cente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5678D017-6B8E-4C77-A347-6E11B772BBEE. Podpisany</w:t>
          </w:r>
        </w:p>
      </w:tc>
      <w:tc>
        <w:tcPr>
          <w:tcW w:w="3402" w:type="dxa"/>
          <w:tcBorders>
            <w:top w:val="single" w:sz="2" w:space="0" w:color="auto"/>
            <w:left w:val="nil"/>
            <w:bottom w:val="nil"/>
            <w:right w:val="nil"/>
          </w:tcBorders>
          <w:noWrap w:val="0"/>
          <w:tcMar>
            <w:top w:w="100" w:type="dxa"/>
            <w:left w:w="108" w:type="dxa"/>
            <w:bottom w:w="0" w:type="dxa"/>
            <w:right w:w="108" w:type="dxa"/>
          </w:tcMar>
          <w:textDirection w:val="lrTb"/>
          <w:vAlign w:val="cente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single" w:sz="2" w:space="0" w:color="auto"/>
            <w:left w:val="nil"/>
            <w:bottom w:val="nil"/>
            <w:right w:val="nil"/>
          </w:tcBorders>
          <w:noWrap w:val="0"/>
          <w:tcMar>
            <w:top w:w="100" w:type="dxa"/>
            <w:left w:w="108" w:type="dxa"/>
            <w:bottom w:w="0" w:type="dxa"/>
            <w:right w:w="108" w:type="dxa"/>
          </w:tcMar>
          <w:textDirection w:val="lrTb"/>
          <w:vAlign w:val="cente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5678D017-6B8E-4C77-A347-6E11B772BBEE. Podpisany</w:t>
          </w:r>
        </w:p>
      </w:tc>
      <w:tc>
        <w:tcPr>
          <w:tcW w:w="3402" w:type="dxa"/>
          <w:tcBorders>
            <w:top w:val="single" w:sz="2" w:space="0" w:color="auto"/>
            <w:left w:val="nil"/>
            <w:bottom w:val="nil"/>
            <w:right w:val="nil"/>
          </w:tcBorders>
          <w:noWrap w:val="0"/>
          <w:tcMar>
            <w:top w:w="100" w:type="dxa"/>
            <w:left w:w="108" w:type="dxa"/>
            <w:bottom w:w="0" w:type="dxa"/>
            <w:right w:w="108" w:type="dxa"/>
          </w:tcMar>
          <w:textDirection w:val="lrTb"/>
          <w:vAlign w:val="cente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single" w:sz="2" w:space="0" w:color="auto"/>
            <w:left w:val="nil"/>
            <w:bottom w:val="nil"/>
            <w:right w:val="nil"/>
          </w:tcBorders>
          <w:noWrap w:val="0"/>
          <w:tcMar>
            <w:top w:w="100" w:type="dxa"/>
            <w:left w:w="108" w:type="dxa"/>
            <w:bottom w:w="0" w:type="dxa"/>
            <w:right w:w="108" w:type="dxa"/>
          </w:tcMar>
          <w:textDirection w:val="lrTb"/>
          <w:vAlign w:val="cente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5678D017-6B8E-4C77-A347-6E11B772BBEE. Podpisany</w:t>
          </w:r>
        </w:p>
      </w:tc>
      <w:tc>
        <w:tcPr>
          <w:tcW w:w="3402" w:type="dxa"/>
          <w:tcBorders>
            <w:top w:val="single" w:sz="2" w:space="0" w:color="auto"/>
            <w:left w:val="nil"/>
            <w:bottom w:val="nil"/>
            <w:right w:val="nil"/>
          </w:tcBorders>
          <w:noWrap w:val="0"/>
          <w:tcMar>
            <w:top w:w="100" w:type="dxa"/>
            <w:left w:w="108" w:type="dxa"/>
            <w:bottom w:w="0" w:type="dxa"/>
            <w:right w:w="108" w:type="dxa"/>
          </w:tcMar>
          <w:textDirection w:val="lrTb"/>
          <w:vAlign w:val="cente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single" w:sz="2" w:space="0" w:color="auto"/>
            <w:left w:val="nil"/>
            <w:bottom w:val="nil"/>
            <w:right w:val="nil"/>
          </w:tcBorders>
          <w:noWrap w:val="0"/>
          <w:tcMar>
            <w:top w:w="100" w:type="dxa"/>
            <w:left w:w="108" w:type="dxa"/>
            <w:bottom w:w="0" w:type="dxa"/>
            <w:right w:w="108" w:type="dxa"/>
          </w:tcMar>
          <w:textDirection w:val="lrTb"/>
          <w:vAlign w:val="cente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5678D017-6B8E-4C77-A347-6E11B772BBEE. Podpisany</w:t>
          </w:r>
        </w:p>
      </w:tc>
      <w:tc>
        <w:tcPr>
          <w:tcW w:w="3402" w:type="dxa"/>
          <w:tcBorders>
            <w:top w:val="single" w:sz="2" w:space="0" w:color="auto"/>
            <w:left w:val="nil"/>
            <w:bottom w:val="nil"/>
            <w:right w:val="nil"/>
          </w:tcBorders>
          <w:noWrap w:val="0"/>
          <w:tcMar>
            <w:top w:w="100" w:type="dxa"/>
            <w:left w:w="108" w:type="dxa"/>
            <w:bottom w:w="0" w:type="dxa"/>
            <w:right w:w="108" w:type="dxa"/>
          </w:tcMar>
          <w:textDirection w:val="lrTb"/>
          <w:vAlign w:val="cente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keepNext w:val="0"/>
        <w:keepLines/>
        <w:spacing w:before="0" w:after="0" w:line="240" w:lineRule="auto"/>
        <w:ind w:left="170" w:right="0" w:hanging="170"/>
        <w:jc w:val="both"/>
        <w:rPr>
          <w:rFonts w:ascii="Times New Roman" w:eastAsia="Times New Roman" w:hAnsi="Times New Roman" w:cs="Times New Roman"/>
          <w:sz w:val="20"/>
        </w:rPr>
      </w:pPr>
      <w:r>
        <w:rPr>
          <w:rStyle w:val="FootnoteReference"/>
        </w:rPr>
        <w:footnoteRef/>
      </w:r>
      <w:r>
        <w:rPr>
          <w:vertAlign w:val="superscript"/>
        </w:rPr>
        <w:t>) </w:t>
      </w:r>
      <w:r>
        <w:rPr>
          <w:rFonts w:ascii="Times New Roman" w:eastAsia="Times New Roman" w:hAnsi="Times New Roman" w:cs="Times New Roman"/>
          <w:b w:val="0"/>
          <w:caps w:val="0"/>
          <w:sz w:val="20"/>
        </w:rPr>
        <w:t>Przepisy wprowadzające zmiany opublikowano w: Dz. U. z 2018r. poz. 2245, z 2019r. poz. 1649, z 2020r. poz. 284, poz. 374, poz. 568, poz. 695</w:t>
      </w:r>
    </w:p>
  </w:footnote>
  <w:footnote w:id="1">
    <w:p>
      <w:pPr>
        <w:pStyle w:val="FootnoteText"/>
        <w:keepNext w:val="0"/>
        <w:keepLines/>
        <w:spacing w:before="0" w:after="0" w:line="240" w:lineRule="auto"/>
        <w:ind w:left="170" w:right="0" w:hanging="170"/>
        <w:jc w:val="both"/>
        <w:rPr>
          <w:rFonts w:ascii="Times New Roman" w:eastAsia="Times New Roman" w:hAnsi="Times New Roman" w:cs="Times New Roman"/>
          <w:sz w:val="20"/>
        </w:rPr>
      </w:pPr>
      <w:r>
        <w:rPr>
          <w:rStyle w:val="FootnoteReference"/>
        </w:rPr>
        <w:footnoteRef/>
      </w:r>
      <w:r>
        <w:rPr>
          <w:vertAlign w:val="superscript"/>
        </w:rPr>
        <w:t>) </w:t>
      </w:r>
      <w:r>
        <w:rPr>
          <w:rFonts w:ascii="Times New Roman" w:eastAsia="Times New Roman" w:hAnsi="Times New Roman" w:cs="Times New Roman"/>
          <w:b w:val="0"/>
          <w:caps w:val="0"/>
          <w:sz w:val="20"/>
        </w:rPr>
        <w:t>Przepisy wprowadzające zmiany opublikowano w: Dz. U. z 2019r. poz.1903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rsid w:val="00805BCE"/>
    <w:rPr>
      <w:vertAlign w:val="superscript"/>
    </w:rPr>
  </w:style>
  <w:style w:type="paragraph" w:styleId="FootnoteText">
    <w:name w:val="footnote text"/>
    <w:basedOn w:val="Normal"/>
    <w:rsid w:val="00805BCE"/>
    <w:rPr>
      <w:sz w:val="20"/>
      <w:szCs w:val="20"/>
    </w:rPr>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Powiatu Tarnogórskiego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XVIII/183/2020 z dnia 28 kwietnia 2020 r.</dc:title>
  <dc:subject>w sprawie zmiany Wieloletniej Prognozy Finansowej Powiatu Tarnogórskiego na lata 2020-2028</dc:subject>
  <dc:creator>nr367</dc:creator>
  <cp:lastModifiedBy>nr367</cp:lastModifiedBy>
  <cp:revision>1</cp:revision>
  <dcterms:created xsi:type="dcterms:W3CDTF">2020-04-30T12:12:53Z</dcterms:created>
  <dcterms:modified xsi:type="dcterms:W3CDTF">2020-04-30T12:12:53Z</dcterms:modified>
  <cp:category>Akt prawny</cp:category>
</cp:coreProperties>
</file>