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XVII/175/2020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2020-2028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2020-2028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XVII/175/2020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lutego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XVII/175/2020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lutego 2020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41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XVII/175/2020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zasadniczo rezultatem zdarzeń gospodarczych mających miejsce w miesiącach styczniu i lutym. Pewne zmiany spowodowane są jednakże przesunięciami w harmonogramach realizacji zadań z roku 2019 do roku bieżącego. Zaplanowane, acz niewydatkowane w roku 2019, środki „przechodzą” do budżetu tegorocznego jako przychody i finansują zwiększony plan wydatków, celem pełnej i zgodnej z umowami realizacji zadań. Jeśli chodzi o przyszłe lata prognozy, z powodu zmian w harmonogramie przekazywania z budżetu państwa środków na adaptację pomieszczeń szpitalnych, zwiększono w roku 2021 kwoty dochodów i wydatków.  W poniższej tabeli przedstawiono zmiany podstawowych kategorii dla roku 2020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28.01.2020r.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193</w:t>
            </w:r>
            <w:r>
              <w:t> </w:t>
            </w:r>
            <w:r>
              <w:t>200</w:t>
            </w:r>
            <w:r>
              <w:t> </w:t>
            </w:r>
            <w:r>
              <w:t>606,00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189</w:t>
            </w:r>
            <w:r>
              <w:t> </w:t>
            </w:r>
            <w:r>
              <w:t>896</w:t>
            </w:r>
            <w:r>
              <w:t> </w:t>
            </w:r>
            <w:r>
              <w:t>019,00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-3</w:t>
            </w:r>
            <w:r>
              <w:t> </w:t>
            </w:r>
            <w:r>
              <w:t>304</w:t>
            </w:r>
            <w:r>
              <w:t> </w:t>
            </w:r>
            <w:r>
              <w:t>587,00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204</w:t>
            </w:r>
            <w:r>
              <w:t> </w:t>
            </w:r>
            <w:r>
              <w:t>821</w:t>
            </w:r>
            <w:r>
              <w:t> </w:t>
            </w:r>
            <w:r>
              <w:t>570,00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</w:t>
            </w:r>
            <w:r>
              <w:t> </w:t>
            </w:r>
            <w:r>
              <w:t>724</w:t>
            </w:r>
            <w:r>
              <w:t> </w:t>
            </w:r>
            <w:r>
              <w:t>710,00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-2</w:t>
            </w:r>
            <w:r>
              <w:t> </w:t>
            </w:r>
            <w:r>
              <w:t>096</w:t>
            </w:r>
            <w:r>
              <w:t> </w:t>
            </w:r>
            <w:r>
              <w:t>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-11</w:t>
            </w:r>
            <w:r>
              <w:t> </w:t>
            </w:r>
            <w:r>
              <w:t>620</w:t>
            </w:r>
            <w:r>
              <w:t> </w:t>
            </w:r>
            <w:r>
              <w:t>964,00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-12</w:t>
            </w:r>
            <w:r>
              <w:t> </w:t>
            </w:r>
            <w:r>
              <w:t>828</w:t>
            </w:r>
            <w:r>
              <w:t> </w:t>
            </w:r>
            <w:r>
              <w:t>691,00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</w:t>
            </w:r>
            <w:r>
              <w:t> </w:t>
            </w:r>
            <w:r>
              <w:t>207</w:t>
            </w:r>
            <w:r>
              <w:t> </w:t>
            </w:r>
            <w:r>
              <w:t>727,00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</w:t>
            </w:r>
            <w:r>
              <w:t> </w:t>
            </w:r>
            <w:r>
              <w:t>524</w:t>
            </w:r>
            <w:r>
              <w:t> </w:t>
            </w:r>
            <w:r>
              <w:t>964,00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</w:t>
            </w:r>
            <w:r>
              <w:t> </w:t>
            </w:r>
            <w:r>
              <w:t>732</w:t>
            </w:r>
            <w:r>
              <w:t> </w:t>
            </w:r>
            <w:r>
              <w:t>691,00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207</w:t>
            </w:r>
            <w:r>
              <w:t> </w:t>
            </w:r>
            <w:r>
              <w:t>727,00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957</w:t>
            </w:r>
            <w:r>
              <w:t> </w:t>
            </w:r>
            <w:r>
              <w:t>456,00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024</w:t>
            </w:r>
            <w:r>
              <w:t> </w:t>
            </w:r>
            <w:r>
              <w:t>729,00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-932</w:t>
            </w:r>
            <w:r>
              <w:t> </w:t>
            </w:r>
            <w:r>
              <w:t>727,00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Jeśli chodzi o dochody – ilościowo liczba zmian była niewielka, jednak ze względu na przesunięcie na rok 2021 części planowanej do otrzymania dotacji z rezerwy celowej budżetu państwa na wspomnianą już adaptację pomieszczeń szpitalnych wartość ujemnej korekty obecnego roku jest wysoka. Druga, i zarazem ostatnia ze zmian strony dochodowej, związana jest z nieznacznym zwiększeniem planu z odpłatności pensjonariuszy w DPS „Przyjaźń”.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strony wydatkowej związane były z: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zmianami w dochodach budżetowych;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koniecznością zwiększenia planu dla programów i projektów unijnych o środki niewydatkowane w roku ubiegłym a pozostające na wyodrębnionych rachunkach bankowych. Jako źródło sfinansowania tych wydatków posłużył nowy tytuł przychodów budżetowych związany z rozliczeniem dotacji na programy i projekty strukturalne;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koniecznością doszacowania planu wydatków na zadania inwestycyjno-remontowe realizowane w Wydziale Inwestycji i Drogownictwa. Jako źródło sfinansowania tych wydatków posłużyły przychody z wolnych środków pozostające na rachunku budżetu z rozliczenia działalności kredytobiorczej z lat ubiegłych.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Pomimo wysokiego zaangażowania w obecnym budżecie środków z przychodów, posiadana wiedza co do wykonania podstawowych kategorii za rok 2019, daje pewność, iż kolejne uruchamiane środki przychodowe są jak najbardziej realne i mogą posłużyć do finansowania dodatkowych wydatków roku bieżącego.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rozchodów budżetowych obecnego roku. W rezultacie przesunięcia w harmonogramie przekazywania dotacji z rezerwy celowej budżetu państwa na adaptację pomieszczeń szpitalnych w roku 2021 wzrosła o kwotę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 tys. zł wartość dochodów i wydatków majątkowych.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w roku 2020 planu wydatków bieżących na programy i projekty unijne, sfinansowanych przychodami, pogorszyło relacje ustawowe określone w art. 242 i 243 ustawy o finansach publicznych. Należy jednak podkreślić, iż zmiany wskaźników nie były znaczące, a ponadto, iż obie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niewydatkowanie pełnej, zaplanowanej na rok 2019, puli środków na realizację projektów unijnych zwiększono limity wydatków roku 2020, nie zmieniając jednakże łącznej wartości dla następujących zadań: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„Powiatowe Centrum Usług Społecznych” o kwotę 196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964,00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„Teraz MY” o kwotę 144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586,00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„Szkoła w działaniu” o kwotę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757,00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„Zagraniczna mobilność początkiem drogi zawodowej” o kwotę 345,00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„Ponadnarodowa mobilność uczniów i absolwentów oraz kadry kształcenia zawodowego” o kwotę 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280,00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„Moje powodzenia edukacyjne kluczem do sukcesu zawodowego” o kwotę 39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876,00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„Matura paszportem w przyszłość” o kwotę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013,00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„Innowacyjny staż krokiem w lepszą przyszłość” o kwotę 90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576,00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„Praktyka zagraniczna – nowe możliwości, lepsze umiejętności” o kwotę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„Mierzymy wysoko” o kwotę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773,00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„Powiatowa Akademia Sukcesu Ucznia Szkoły Zawodowej” o kwotę 423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277,00 zł. Jednocześnie część środków zaplanowanych na wydatki bieżące w kwocie 75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przeznaczono na zakupy inwestycyjne;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zmianę w harmonogramie realizacji projektu unijnego „Wsparcie nauczania przedmiotów ogólnokształcących w tarnogórskim Ekonomiku” przesuwającą z roku 2020 na rok 2019 wykonanie pewnych działań zmniejszono o kwotę 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047,00 zł limit wydatków roku 2020, nie zmieniając jednakże łącznej wartości ww. zadania;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przesunięcia w harmonogramie realizacji zadania „Warsztaty dla bardziej efektywnego wykorzystania usług e-administracji” – projekt który pierwotnie miał być ukończony w 2019 roku będzie kontynuowany także w roku 2020. Planowane nakłady w bieżącym roku zamkną się kwotą 29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085,00 zł. Jednakże nie zmieni się łączna wartość całego zadania;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ze zmianą harmonogramu przekazywania środków z rezerwy celowej budżetu państwa na zadanie „Adaptacja byłej kuchni w budynku WSP SA na potrzeby bloku operacyjnego i centralnej sterylizatorni” część nakładów w kwocie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587,00 zł przesunięto do realizacji z roku 2020 na 2021, nie zmieniając jednakże całkowitej wartości przedsięwzięcia;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rozszerzeniem zakresu przebudowy pomieszczeń sanitarnych w Zespole Szkół Technicznych i Ogólnokształcących zwiększono o kwotę 200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 limit wydatków roku 2020 oraz całkowitą wartość dla zadania „Przebudowa pomieszczeń sanitarnych w Zespole Szkół Technicznych i Ogólnokształcących w Tarnowskich Górach”.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06F21804-BAE5-44A0-8C56-B7441F83576F.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06F21804-BAE5-44A0-8C56-B7441F83576F.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06F21804-BAE5-44A0-8C56-B7441F83576F.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06F21804-BAE5-44A0-8C56-B7441F83576F.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 poz. 2245, z 2019r. poz. 1649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XVII/175/2020 z dnia 25 lutego 2020 r.</dc:title>
  <dc:subject>w sprawie zmiany Wieloletniej Prognozy Finansowej Powiatu Tarnogórskiego na lata 2020-2028</dc:subject>
  <dc:creator>nr367</dc:creator>
  <cp:lastModifiedBy>nr367</cp:lastModifiedBy>
  <cp:revision>1</cp:revision>
  <dcterms:created xsi:type="dcterms:W3CDTF">2020-02-26T13:38:34Z</dcterms:created>
  <dcterms:modified xsi:type="dcterms:W3CDTF">2020-02-26T13:38:34Z</dcterms:modified>
  <cp:category>Akt prawny</cp:category>
</cp:coreProperties>
</file>