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XV/154/2019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 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 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 z 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XV/154/2019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17 grudnia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XV/154/2019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17 grudnia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559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XV/154/2019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i przedsięwzięciach wieloletnich są rezultatem zdarzeń gospodarczych mających miejsce w miesiącach listopadzie i grudniu. Wpłynęły one na wartości podstawowych kategorii tylko w roku bieżącym. Bez zmian pozostały natomiast wartości w latach przyszłych. W poniższej tabeli przedstawiono zmiany podstawowych kategorii dla roku 2019.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dnia 26.11.2019r.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179</w:t>
            </w:r>
            <w:r>
              <w:t> </w:t>
            </w:r>
            <w:r>
              <w:t>978</w:t>
            </w:r>
            <w:r>
              <w:t> </w:t>
            </w:r>
            <w:r>
              <w:t>397,53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180</w:t>
            </w:r>
            <w:r>
              <w:t> </w:t>
            </w:r>
            <w:r>
              <w:t>870</w:t>
            </w:r>
            <w:r>
              <w:t> </w:t>
            </w:r>
            <w:r>
              <w:t>340,53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891</w:t>
            </w:r>
            <w:r>
              <w:t> </w:t>
            </w:r>
            <w:r>
              <w:t>943,00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180</w:t>
            </w:r>
            <w:r>
              <w:t> </w:t>
            </w:r>
            <w:r>
              <w:t>792</w:t>
            </w:r>
            <w:r>
              <w:t> </w:t>
            </w:r>
            <w:r>
              <w:t>770,53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181</w:t>
            </w:r>
            <w:r>
              <w:t> </w:t>
            </w:r>
            <w:r>
              <w:t>684</w:t>
            </w:r>
            <w:r>
              <w:t> </w:t>
            </w:r>
            <w:r>
              <w:t>713,53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891</w:t>
            </w:r>
            <w:r>
              <w:t> </w:t>
            </w:r>
            <w:r>
              <w:t>943,00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-814</w:t>
            </w:r>
            <w:r>
              <w:t> </w:t>
            </w:r>
            <w:r>
              <w:t>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-814</w:t>
            </w:r>
            <w:r>
              <w:t> </w:t>
            </w:r>
            <w:r>
              <w:t>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968</w:t>
            </w:r>
            <w:r>
              <w:t> </w:t>
            </w:r>
            <w:r>
              <w:t>373,00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968</w:t>
            </w:r>
            <w:r>
              <w:t> </w:t>
            </w:r>
            <w:r>
              <w:t>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629</w:t>
            </w:r>
            <w:r>
              <w:t> </w:t>
            </w:r>
            <w:r>
              <w:t>863,00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</w:t>
            </w:r>
            <w:r>
              <w:t> </w:t>
            </w:r>
            <w:r>
              <w:t>903</w:t>
            </w:r>
            <w:r>
              <w:t> </w:t>
            </w:r>
            <w:r>
              <w:t>916,00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274</w:t>
            </w:r>
            <w:r>
              <w:t> </w:t>
            </w:r>
            <w:r>
              <w:t>053,00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Ilość zmian w dochodach i wydatkach dokonywanych na koniec roku, tj. w miesiącach listopadzie i grudniu, zazwyczaj jest znacząca. Łączny wzrost planu tych dwóch kategorii, w stosunku do prognozy z końca listopada, to niespełna 900 tys. zł. Jeśli chodzi o dochody to wiele z tych zmian miało charakter dostosowujący plan do przewidywanej realizacji na koniec roku. Tytuły nie w pełni zrealizowane zastąpiono tytułami zrealizowanymi ponadplanowo. Zmian tych dokonano w Starostwie Powiatowym, jednostkach oświatowych oraz jednostkach pomocy społecznej. Ważniejsze z nich dotyczyły: korekt dotacji otrzymanych od Wojewody Śląskiego na zadania własne i zlecone, nieznacznej korekty zwiększającej wartość części oświatowej subwencji ogólnej, zwiększenia udziałów w PIT i CIT, zmniejszenia dochodów ze sprzedaży nieruchomości, zwiększenia kwoty udziałów Powiatu w gospodarowaniu majątkiem skarbu państwa (25% i 5% z użytkowania wieczystego), korekt związanych z rozliczeniami zadań dofinansowanych środkami strukturalnymi w ramach ZIT, zwiększenia dochodów otrzymanych z odszkodowań, kar umownych, rozliczeń dotacji udzielonych niepublicznym jednostkom oświatowym w latach ubiegłych, zwiększenia środków z opłat za zajęcie pasa jezdni, zwiększenia dochodów z odsetek od środków zgromadzonych na rachunkach bankowych, zwrotu podatku VAT naliczonego przy realizacji w roku 2018 inwestycji w budynkach szpitalnych.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Jeśli zaś chodzi o wydatki, poza dostosowaniem planu do przewidywanej realizacji oraz zmianami determinowanymi otrzymanymi decyzjami finansowymi, wskazać należy: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 planu celem zwrotu nienależnie otrzymanej części oświatowej subwencji ogólnej za rok 2014;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doszacowanie planu na dotacje dla niepublicznych jednostek oświatowych;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planu na realizację zadania przebudowy pomieszczeń sanitarnych w Zespole Szkół Technicznych i Ogólnokształcących w związku ze złożonymi przez potencjalnych wykonawców ofertami.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analizowanym okresie nie uległa zmianie wartość przychodów i rozchodów roku obecnego a także podstawowe wartości prognozy finansowej w latach następnych.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Wprowadzone zmiany spowodowały, dla roku 2019, znaczącą poprawę wskaźnika z art. 242 ustawy o finansach publicznych. Wynikało to przede wszystkim z zastąpienia niewykonywanego tytułu dochodów ze sprzedaży majątku tytułami dochodów bieżących wykonanymi ponadplanowo. Powyższy zabieg księgowy pozostał natomiast praktycznie neutralny dla kształtowania się wskaźnika z art. 243 wspomnianej ustawy. Należy jednakże podkreślić, iż obie relacje spełnione są, zarówno w roku obecnym, jak też i w latach przyszłych,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zaszła tylko jedna zmiana. Zwiększono o kwotę 62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964 zł limit wydatków roku 2019 oraz łączną wartość dla zadania „Przebudowa pomieszczeń sanitarnych w Zespole Szkół Technicznych i Ogólnokształcących w Tarnowskich Górach”. Powyższe jest wynikiem wyższych niż zakładano ofert złożonych przez potencjalnych wykonawców w toczącym się obecnie postępowaniu przetargowym.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C3BD91BC-865A-4092-A668-588B0C285AD3.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C3BD91BC-865A-4092-A668-588B0C285AD3.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C3BD91BC-865A-4092-A668-588B0C285AD3.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C3BD91BC-865A-4092-A668-588B0C285AD3.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1903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XV/154/2019 z dnia 17 grudnia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2019-12-19T08:43:49Z</dcterms:created>
  <dcterms:modified xsi:type="dcterms:W3CDTF">2019-12-19T08:43:49Z</dcterms:modified>
  <cp:category>Akt prawny</cp:category>
</cp:coreProperties>
</file>