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XV/156/2019</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17 grudnia 2019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Wieloletniej Prognozy Finansowej Powiatu Tarnogórskiego na lata 2020-2028</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226,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227,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228,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229,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230,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243</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27</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sierpnia 2009</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finansach publicznych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869 z późn.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czerwca 1998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samorządzie powiatowym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511 ze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Rozporządzenia Ministra Finansów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2013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wieloletniej prognozy finansowej jednostki samorządu terytorialnego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2015r.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92 z późn. zm.</w:t>
      </w:r>
      <w:r>
        <w:rPr>
          <w:rStyle w:val="FootnoteReference"/>
        </w:rPr>
        <w:footnoteReference w:id="2"/>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 xml:space="preserve">Uchwala się Wieloletnią Prognozę Finansową Powiatu Tarnogórskiego na lata 2020–2028 wraz </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prognozą kwoty długu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spłat zobowiązań na lata 2020-2028</w:t>
      </w:r>
      <w:r>
        <w:rPr>
          <w:rFonts w:ascii="Times New Roman" w:eastAsia="Times New Roman" w:hAnsi="Times New Roman" w:cs="Times New Roman"/>
          <w:b w:val="0"/>
          <w:i/>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xml:space="preserv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załącznikiem nr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niniejszej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Określa się wykaz przedsięwzięć realizowanych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latach 2020-2023</w:t>
      </w:r>
      <w:r>
        <w:rPr>
          <w:rFonts w:ascii="Times New Roman" w:eastAsia="Times New Roman" w:hAnsi="Times New Roman" w:cs="Times New Roman"/>
          <w:b w:val="0"/>
          <w:i/>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xml:space="preserve">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załącznikiem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niniejszej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Uchwala się objaśnienia przyjętych wartości do Wieloletniej Prognozy Finansowej Powiatu Tarnogórskiego na lata 2020-2028, zgodnie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załącznikiem nr 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niniejszej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sz w:val="22"/>
        </w:rPr>
        <w:t>1. </w:t>
      </w:r>
      <w:r>
        <w:rPr>
          <w:rFonts w:ascii="Times New Roman" w:eastAsia="Times New Roman" w:hAnsi="Times New Roman" w:cs="Times New Roman"/>
          <w:b w:val="0"/>
          <w:i w:val="0"/>
          <w:caps w:val="0"/>
          <w:strike w:val="0"/>
          <w:color w:val="000000"/>
          <w:sz w:val="22"/>
          <w:u w:val="none" w:color="000000"/>
          <w:vertAlign w:val="baseline"/>
        </w:rPr>
        <w:t>Upoważnia się Zarząd Powiatu do zaciągania zobowiązań związanych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realizacją przedsięwzięć, określonych załącznikiem nr 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do uchwały.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Fonts w:ascii="Times New Roman" w:eastAsia="Times New Roman" w:hAnsi="Times New Roman" w:cs="Times New Roman"/>
          <w:b w:val="0"/>
          <w:i w:val="0"/>
          <w:caps w:val="0"/>
          <w:strike w:val="0"/>
          <w:color w:val="000000"/>
          <w:sz w:val="22"/>
          <w:u w:val="none" w:color="000000"/>
          <w:vertAlign w:val="baseline"/>
        </w:rPr>
        <w:t>Upoważnia się Zarząd Powiatu do zaciągania zobowiązań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tytułu umów których realizacja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budżetowym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 latach następnych jest niezbędna do zapewnienia ciągłości działania Powiatu Tarnogórskiego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 których wynikające płatności wykraczają poza rok budżetowy.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Fonts w:ascii="Times New Roman" w:eastAsia="Times New Roman" w:hAnsi="Times New Roman" w:cs="Times New Roman"/>
          <w:b w:val="0"/>
          <w:i w:val="0"/>
          <w:caps w:val="0"/>
          <w:strike w:val="0"/>
          <w:color w:val="000000"/>
          <w:sz w:val="22"/>
          <w:u w:val="none" w:color="000000"/>
          <w:vertAlign w:val="baseline"/>
        </w:rPr>
        <w:t>Upoważnia się Zarząd Powiatu do dokonywania zmian limitów zobowiązań i kwot wydatków na realizację przedsięwzięcia finansowanego z udziałem środków europejskich albo środków, o których mowa w art. 5 ust.1 pkt 3 ustawy o finansach publicznych, w związku ze zmianami w realizacji tego przedsięwzięcia, o ile zmiany te nie pogorszą wyniku budżetu dla każdego roku objętego wieloletnią prognozą finansową. Upoważnienie to obejmuje także upoważnienie do dokonywania zmian środków przeznaczonych na współfinansowanie realizacji przedsięwzięć, o których mowa w zdaniu pierwszym, w tym wkładu własnego beneficjenta, oraz wynikających z rozstrzygniętych konkursów, o których mowa w art. 38 ust. 1 pkt 1 ustawy o zasadach realizacji programów.</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Fonts w:ascii="Times New Roman" w:eastAsia="Times New Roman" w:hAnsi="Times New Roman" w:cs="Times New Roman"/>
          <w:b w:val="0"/>
          <w:i w:val="0"/>
          <w:caps w:val="0"/>
          <w:strike w:val="0"/>
          <w:color w:val="000000"/>
          <w:sz w:val="22"/>
          <w:u w:val="none" w:color="000000"/>
          <w:vertAlign w:val="baseline"/>
        </w:rPr>
        <w:t>Upoważnia się Zarząd Powiatu do przekazania uprawnień kierownikom jednostek organizacyjnych do zaciągania zobowiązań,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których mowa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5. </w:t>
      </w:r>
      <w:r>
        <w:rPr>
          <w:rFonts w:ascii="Times New Roman" w:eastAsia="Times New Roman" w:hAnsi="Times New Roman" w:cs="Times New Roman"/>
          <w:b w:val="0"/>
          <w:i w:val="0"/>
          <w:caps w:val="0"/>
          <w:strike w:val="0"/>
          <w:color w:val="000000"/>
          <w:sz w:val="22"/>
          <w:u w:val="none" w:color="000000"/>
          <w:vertAlign w:val="baseline"/>
        </w:rPr>
        <w:t>Uchyla się uchwałę nr II/33/2018 Rady Powiatu Tarnogórskiego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grudnia</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2018 roku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sprawie Wieloletniej Prognozy Finansowej Powiatu Tarnogórskiego na lata 2019-2028 oraz jej późniejsze zmiany. </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6. </w:t>
      </w:r>
      <w:r>
        <w:rPr>
          <w:rFonts w:ascii="Times New Roman" w:eastAsia="Times New Roman" w:hAnsi="Times New Roman" w:cs="Times New Roman"/>
          <w:b w:val="0"/>
          <w:i w:val="0"/>
          <w:caps w:val="0"/>
          <w:strike w:val="0"/>
          <w:color w:val="000000"/>
          <w:sz w:val="22"/>
          <w:u w:val="none" w:color="000000"/>
          <w:vertAlign w:val="baseline"/>
        </w:rPr>
        <w:t xml:space="preserve">Wykonanie uchwały powierza się Zarządowi Powiatu Tarnogórskiego. </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7.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sposób zwyczajowo przyjęty. </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6"/>
          <w:endnotePr>
            <w:numFmt w:val="decimal"/>
          </w:endnotePr>
          <w:type w:val="nextPage"/>
          <w:pgSz w:w="11906" w:h="16838"/>
          <w:pgMar w:top="850" w:right="850" w:bottom="1417" w:left="850" w:header="708" w:footer="708" w:gutter="0"/>
          <w:pgNumType w:start="1"/>
          <w:cols w:space="708"/>
          <w:docGrid w:linePitch="360"/>
        </w:sect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t>Załącznik Nr 1 do uchwały</w:t>
      </w:r>
      <w:r>
        <w:rPr>
          <w:rFonts w:ascii="Times New Roman" w:eastAsia="Times New Roman" w:hAnsi="Times New Roman" w:cs="Times New Roman"/>
          <w:b w:val="0"/>
          <w:i w:val="0"/>
          <w:caps w:val="0"/>
          <w:strike w:val="0"/>
          <w:color w:val="000000"/>
          <w:sz w:val="22"/>
          <w:u w:val="none" w:color="000000"/>
          <w:vertAlign w:val="baseline"/>
        </w:rPr>
        <w:t xml:space="preserve"> Nr XV/156/2019</w:t>
      </w:r>
      <w:r>
        <w:rPr>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17 grudnia 2019 r.</w:t>
      </w:r>
      <w:r>
        <w:rPr>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"Zalacznik1.pdf"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Zalacznik1.pdf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280" w:after="280" w:line="360" w:lineRule="auto"/>
        <w:ind w:left="4535"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sectPr>
          <w:footerReference w:type="default" r:id="rId7"/>
          <w:endnotePr>
            <w:numFmt w:val="decimal"/>
          </w:endnotePr>
          <w:type w:val="nextPage"/>
          <w:pgSz w:w="11906" w:h="16838"/>
          <w:pgMar w:top="850" w:right="850" w:bottom="1417" w:left="850" w:header="708" w:footer="708" w:gutter="0"/>
          <w:pgNumType w:start="1"/>
          <w:cols w:space="708"/>
          <w:docGrid w:linePitch="360"/>
        </w:sect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t>Załącznik Nr 2 do uchwały</w:t>
      </w:r>
      <w:r>
        <w:rPr>
          <w:rStyle w:val="Hyperlink"/>
          <w:rFonts w:ascii="Times New Roman" w:eastAsia="Times New Roman" w:hAnsi="Times New Roman" w:cs="Times New Roman"/>
          <w:b w:val="0"/>
          <w:i w:val="0"/>
          <w:caps w:val="0"/>
          <w:strike w:val="0"/>
          <w:color w:val="000000"/>
          <w:sz w:val="22"/>
          <w:u w:val="none" w:color="000000"/>
          <w:vertAlign w:val="baseline"/>
        </w:rPr>
        <w:t xml:space="preserve"> Nr XV/156/2019</w:t>
      </w:r>
      <w:r>
        <w:rPr>
          <w:rStyle w:val="Hyperlink"/>
          <w:rFonts w:ascii="Times New Roman" w:eastAsia="Times New Roman" w:hAnsi="Times New Roman" w:cs="Times New Roman"/>
          <w:b w:val="0"/>
          <w:i w:val="0"/>
          <w:caps w:val="0"/>
          <w:strike w:val="0"/>
          <w:color w:val="000000"/>
          <w:sz w:val="22"/>
          <w:u w:val="none" w:color="000000"/>
          <w:vertAlign w:val="baseline"/>
        </w:rPr>
        <w:br/>
      </w:r>
      <w: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sz w:val="22"/>
        </w:rPr>
        <w:t>z dnia 17 grudnia 2019 r.</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instrText xml:space="preserve"> HYPERLINK "Zalacznik2.pdf" </w:instrText>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t>Zalacznik2.pdf</w:t>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p>
    <w:p w:rsidR="00A77B3E">
      <w:pPr>
        <w:keepNext/>
        <w:spacing w:before="120" w:after="120" w:line="360" w:lineRule="auto"/>
        <w:ind w:left="5559" w:right="0" w:firstLine="0"/>
        <w:jc w:val="left"/>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fldChar w:fldCharType="begin"/>
      </w:r>
      <w:r>
        <w:rPr>
          <w:rStyle w:val="Hyperlink"/>
          <w:rFonts w:ascii="Times New Roman" w:eastAsia="Times New Roman" w:hAnsi="Times New Roman" w:cs="Times New Roman"/>
          <w:b w:val="0"/>
          <w:i w:val="0"/>
          <w:caps w:val="0"/>
          <w:strike w:val="0"/>
          <w:color w:val="000000"/>
          <w:sz w:val="22"/>
          <w:u w:val="none" w:color="000000"/>
          <w:vertAlign w:val="baseline"/>
        </w:rPr>
        <w:fldChar w:fldCharType="separate"/>
      </w:r>
      <w:r>
        <w:rPr>
          <w:rStyle w:val="Hyperlink"/>
          <w:rFonts w:ascii="Times New Roman" w:eastAsia="Times New Roman" w:hAnsi="Times New Roman" w:cs="Times New Roman"/>
          <w:b w:val="0"/>
          <w:i w:val="0"/>
          <w:caps w:val="0"/>
          <w:strike w:val="0"/>
          <w:color w:val="000000"/>
          <w:sz w:val="22"/>
          <w:u w:val="none" w:color="000000"/>
          <w:vertAlign w:val="baseline"/>
        </w:rPr>
        <w:fldChar w:fldCharType="end"/>
      </w:r>
      <w:r>
        <w:rPr>
          <w:rStyle w:val="Hyperlink"/>
          <w:rFonts w:ascii="Times New Roman" w:eastAsia="Times New Roman" w:hAnsi="Times New Roman" w:cs="Times New Roman"/>
          <w:b w:val="0"/>
          <w:i w:val="0"/>
          <w:caps w:val="0"/>
          <w:strike w:val="0"/>
          <w:color w:val="000000"/>
          <w:sz w:val="22"/>
          <w:u w:val="none" w:color="000000"/>
          <w:vertAlign w:val="baseline"/>
        </w:rPr>
        <w:t>Załącznik nr</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do uchwały nr XV/156/2019</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Rady Powiatu Tarnogórskiego</w:t>
      </w:r>
      <w:r>
        <w:rPr>
          <w:rStyle w:val="Hyperlink"/>
          <w:rFonts w:ascii="Times New Roman" w:eastAsia="Times New Roman" w:hAnsi="Times New Roman" w:cs="Times New Roman"/>
          <w:b w:val="0"/>
          <w:i w:val="0"/>
          <w:caps w:val="0"/>
          <w:strike w:val="0"/>
          <w:color w:val="000000"/>
          <w:sz w:val="22"/>
          <w:u w:val="none" w:color="000000"/>
          <w:vertAlign w:val="baseline"/>
        </w:rPr>
        <w:br/>
      </w:r>
      <w:r>
        <w:rPr>
          <w:rStyle w:val="Hyperlink"/>
          <w:rFonts w:ascii="Times New Roman" w:eastAsia="Times New Roman" w:hAnsi="Times New Roman" w:cs="Times New Roman"/>
          <w:b w:val="0"/>
          <w:i w:val="0"/>
          <w:caps w:val="0"/>
          <w:strike w:val="0"/>
          <w:color w:val="000000"/>
          <w:sz w:val="22"/>
          <w:u w:val="none" w:color="000000"/>
          <w:vertAlign w:val="baseline"/>
        </w:rPr>
        <w:t>z dnia 17</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grudnia 2019</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Objaśnienia kategorii i</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wartości przyjętych w</w:t>
      </w:r>
      <w:r>
        <w:rPr>
          <w:rStyle w:val="Hyperlink"/>
          <w:rFonts w:ascii="Times New Roman" w:eastAsia="Times New Roman" w:hAnsi="Times New Roman" w:cs="Times New Roman"/>
          <w:b/>
          <w:i w:val="0"/>
          <w:caps w:val="0"/>
          <w:strike w:val="0"/>
          <w:color w:val="000000"/>
          <w:sz w:val="22"/>
          <w:u w:val="none" w:color="000000"/>
          <w:vertAlign w:val="baseline"/>
        </w:rPr>
        <w:t> </w:t>
      </w:r>
      <w:r>
        <w:rPr>
          <w:rStyle w:val="Hyperlink"/>
          <w:rFonts w:ascii="Times New Roman" w:eastAsia="Times New Roman" w:hAnsi="Times New Roman" w:cs="Times New Roman"/>
          <w:b/>
          <w:i w:val="0"/>
          <w:caps w:val="0"/>
          <w:strike w:val="0"/>
          <w:color w:val="000000"/>
          <w:sz w:val="22"/>
          <w:u w:val="none" w:color="000000"/>
          <w:vertAlign w:val="baseline"/>
        </w:rPr>
        <w:t>Wieloletniej Prognozie Finansowej Powiatu Tarnogórskiego na lata 2020-2028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Ogólna charakterystyka i założenia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Wieloletnia Prognoza Finansowa Powiatu Tarnogórskiego obejmuje okres roku budżetowego i kolejne lata aż do roku 2028, kiedy to kończy się wykup ostatniego z zaciągniętych zobowiązań dłużnych tj. obligacji komunalnych wyemitowanych w dwóch transzach w 2019 roku.</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Prognozę sporządzono w oparciu o wskaźniki i parametry otrzymane od dysponentów środków z obszaru finansów publicznych (informacje o wysokości subwencji ogólnej, udziału w podatku od osób fizycznych, kwotach dotacji od Wojewody Śląskiego na zadania własne i zlecone, wytyczne Ministra Finansów dotyczące założeń makroekonomicznych kraju) oraz posiadane informacje co do kształtowania się podstawowych kategorii budżetowych obecnego roku według stanu na koniec października 2019 roku.</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Tylko na rok 2020 zaplanowano budżet deficytowy. Źródłem pokrycia deficytu będą przychody z wolnych środków. W pozostałych latach planuje się budżety zrównoważone. Wygenerowane nadwyżki w kolejnych latach planuje się przeznaczyć w całości na wykup wyemitowanych obligacji oraz spłatę pożyczki inwestycyjnej. Prognozując wartości ujęte w WPF stosowano zasadę ostrożności chcąc zachować jak najlepszą realistyczność tego narzędzia planowania.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Dochody budżetowe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Dochody budżetowe na rok 2020 wyliczono na kwotę 192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966</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769 zł, w tym:</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dochody bieżące – 170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289</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077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dochody majątkowe – 22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677</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692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Rok 2020 przyjęto jako odniesienie i bazę porównań na lata 2021-2028 prognozy.</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Wielkość przyjęta w planie dochodów ogółem na 2020 rok jest większa od planu obecnego roku, wg stanu na koniec października 2019 r., o kwotę 13,41 mln zł. Wyższa w roku 2020 jest, zarówno wysokość planowanych dochodów bieżących (o 3,97 mln zł), jak też dochodów majątkowych (9,44 mln zł). Jeżeli chodzi o podstawowe kategorie dochodów bieżących to w roku 2020, w stosunku do roku 2019:</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znacząco wyższą wartość przyjmuje część oświatowa subwencji ogólnej;</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porównywalnie kształtują się udziały w podatkach dochodowych;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niższą wartość przyjmują środki dotacyjne (od Wojewody, z Funduszu Pracy, z gmin, na realizację projektów strukturalnych);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niższa jest wartość pozostałych tytułów dochodów (przede wszystkim w następstwie uzyskania w roku 2019 wielu nieplanowanych tytułów).</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Niższe dochody z dotacji na zadania bieżące w budżecie na początku roku 2020, w porównaniu ze stanem na koniec października roku obecnego, nie powinny niepokoić. Obserwowane zachowania dysponentów w większości przypadków polegają na tym, iż plany na początku są nieco niższe. Środki z dotacji od Wojewody zwiększane są następnie w ciągu całego roku na podstawie decyzji finansowych. Podobnie w ciągu roku podpisywane mogą być umowy o współfinansowanie (pomoc finansowa) przez gminy zadań powiatowych np. w infrastrukturze drogowej.</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Mówiąc o podstawowych kategoriach dochodów majątkowych, to w roku 2020 – w stosunku do roku 2019:</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na porównywalnym poziomie kształtuje się planowana sprzedaż majątku;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znacząco wyższą wartość przyjmują przewidywane wpływy z dotacji.</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Zasadniczy wpływ na poziom dotacji w roku 2020 mają dofinansowania w czterech obszarach działalności: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infrastrukturze drogowej gdzie Powiat zamierza pozyskać środki z Funduszu Dróg Samorządowych, Nadleśnictwa Świerklaniec, czy też z gmin;</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ochronie zdrowia w związku z uzyskaniem środków z budżetu państwa na adaptację pomieszczeń w WSP S.A. na potrzeby bloku operacyjnego i centralnej sterylizatorni;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oświacie w efekcie składania wniosków o środki z funduszy strukturalnych;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pomocy społecznej w związku z zakładanym dofinansowaniem z Narodowego Funduszu Ochrony Środowiska i Gospodarki Wodnej.</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Kwota dochodów ogółem najwyższą wartość przyjmuje dla roku 2020. W latach 2021-2022 notowane są spadki. Natomiast od roku 2023 do końca okresu prognozy następuje niewielki, coroczny wzrost wartości dochodów ogółem. Główny wpływ na taką sytuację ma poziom środków uzyskiwanych na finansowanie zadań inwestycyjnych oraz na realizację projektów i programów współfinansowanych środkami unijnymi.  Jeśli chodzi o inwestycje to, z różnych względów, część zadań planowanych do realizacji w roku 2019 przesunięta została na rok 2020. Ponieważ część z nich ma już zagwarantowane dofinansowanie zewnętrzne, z tego powodu w roku 2020 notujemy stosunkowo wysoki poziom dotacji. W następnych latach poziom dotacji majątkowych obniża się i kształtuje w przedziale około 7-8 mln zł. Co zaś się tyczy bieżących programów i projektów dofinansowanych środkami unijnymi to wydatki z obecnej perspektywy finansowej mogą być realizowane i rozliczane do końca 2022 roku. Z kolei w latach 2023-2028, mimo iż poziom dotacji z segmentu bieżącego jest stosunkowo stabilny, to jednak udział dotacji strukturalnych wyraźnie spada w porównaniu z latami 2020-2022.</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Najbardziej ogólny podział strony dochodowej uwzględnia tylko dochody bieżące i majątkowe, niemniej do celów analitycznych konieczne jest przedstawienie ich w większej szczegółowości. Poniżej przedstawiono założenia przyjęte przy prognozowaniu poszczególnych tytułów dochodów tworzących powyższe dwie, podstawowe grupy. Starano się nie uwzględniać niepewnych, incydentalnych źródeł i tytułów. I tak w przypadku dochodów bieżących: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udziały w podatku dochodowym od osób fizycznych (kwota 43,4 mln zł w roku 2020) – zaplanowano w oparciu o znacznie skorygowaną „in minus” (kwota 3,0 mln zł) wartość wskaźnika otrzymanego z Ministerstwa Finansów na rok 2020. Powyższa korekta jest rezultatem kierowania się zasadą ostrożności przy planowaniu budżetu. Niepewność co do realizacji tego tytułu w roku 2020 budzą przyjęte w roku obecnym zmiany ustawowe w aspekcie opodatkowania obywateli (np. zwolnienie podatników do 26 roku życia, wzrost kosztów uzyskania przychodów, obniżenie podstawowej stawki podatkowej do 17%). Z drugiej jednak strony wzrost płacy minimalnej oraz utrzymujące się na niskim poziomie bezrobocie będzie dodatnio wpływać na realizację dochodów. Wskaźnik z roku 2020 przyjęto jako bazę dla kolejnych lat. W całym okresie prognozy założono wzrosty tego tytułu. Ze względu na czynniki omówione powyżej (płaca minimalna oraz poziom bezrobocia) przyrosty tego tytułu są najbardziej znaczące w latach 2021-2025. Przy prognozowaniu tego tytułu w latach następnych wzięto ponadto pod uwagę sytuację gospodarczą w kraju i zagranicą. Także i tutaj występuje pewien dualizm. Wysoki popyt wewnętrzny wynikający z wdrożonych transferów socjalnych równoważony może być niższym eksportem, w związku z obserwowanym obecnie pogorszeniem koniunktury na światowych rynkach. Ważne w tym kontekście są problemy z zadłużeniem niektórych krajów ze strefy Euro, prawdopodobny Brexit oraz nadal realna groźba wojny handlowej pomiędzy USA, Chinami oraz krajami Unii Europejskiej. Poza planowanym wzrostem płacy minimalnej nie posiadamy wiedzy o innych, przyszłych zmianach w prawie wpływających na wysokość udziału w PIT w kolejnych latach. Mając na względzie powyższe tendencje przyjętą wartość omawianego tytułu w ostatnim roku prognozy założono na poziomie 47,4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udziały w podatku dochodowym od osób prawnych – przyjęto w oparciu o wykonania lat ubiegłych oraz prognozę co do kształtowania się sytuacji ekonomicznej kraju w przyszłości. W roku 2020 założono kwotę 1,4 mln zł, a w następnych latach jej niewielkie wzrosty, aż do wysokości 1,6 mln zł w 2028 roku;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część oświatową subwencji ogólnej stanowiącą główny składnik planowanych dochodów celowo-parametrycznych Powiatu dla roku 2020 przyjęto biorąc za punkt wyjścia wskaźnik ministerialny otrzymany na tenże rok tj. 78,4 mln zł. Ze względu na wzrosty nauczycielskich pensji, waloryzację pozostałych dodatków (np. dla stażystów, za wychowawstwo) oraz podwójny nabór w roku 2019 tytuł ten na rok 2020 kształtuje się znacznie powyżej dochodów uzyskanych w latach ubiegłych. Na przyszłe lata prognozy założono niewielkie jego wzrosty wynikające przede wszystkim z prawdopodobnych dalszych podwyżek wynagrodzeń dla pedagogów, choć sytuacja demograficzna oraz planowany nabór do szkół sugerowałby nieznaczną tendencję spadkową wysokości subwencji oświatowej. Na koniec okresu prognozy wartość tego tytułu zaplanowano na poziomie 80,0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część równoważącą subwencji ogólnej przyjęto dla roku 2020 w oparciu o poziom wskaźnika jaki Powiat otrzymał z Ministerstwa Finansów. W kolejnych latach prognozy tytuł ten – jako stosunkowo trudny do zaplanowania – założono w wysokości porównywalnej do roku 2020 tj. w przedziale 735-760 tys.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w odniesieniu zaś do subwencji wyrównawczej w prognozie finansowej nie planowano dochodów z tego tytułu;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w grupie dotacji i środków przeznaczonych na zadania bieżące uwzględniono między innymi:</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dotacje otrzymane z budżetu państwa na zadania własne i zlecone – skalkulowano, dla całego okresu, w oparciu o informacje otrzymane ze Śląskiego Urzędu Wojewódzkiego dla roku 2020 (23,9 mln zł). Przy prognozowaniu posłużono się również wykonaniami lat poprzednich. Powyższy tytuł zaplanowano w latach 2021-2028 uwzględniając nieznaczne wzrosty roczne (przeciętnie o około 0,5-1%);</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dotacje otrzymane z innych jednostek w oparciu o zawarte porozumienia np. dotacje z funduszy celowych, z tytułu pomocy finansowej udzielanej pomiędzy jednostkami samorządu terytorialnego oraz w ramach porozumień z gminami – przyjęto uwzględniając wykonania lat ubiegłych, a także podpisane lub przewidywane do podpisania porozumienia. Na rok 2020 przyjęto wartość 0,4 mln zł. W kolejnych latach dochody z tego tytułu oscylować będą na podobnym poziomie, w granicach 0,4-0,6 mln zł. Zauważyć należy jednak, że w roku 2020 i w latach następnych nie uwzględniono środków pomocowych z gmin na zadania remontowe w infrastrukturze drogowej. Takowe środki „pojawiają się” w budżetach zazwyczaj w trakcie trwania roku zwiększając planowane dochody i wydatki;</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środki z Funduszu Pracy otrzymane z przeznaczeniem na sfinansowanie kosztów wynagrodzeń i składek na ubezpieczenia społeczne dla pracowników Powiatowego Urzędu Pracy w Tarnowskich Górach zaplanowano tylko w roku 2020 w kwocie 0,3 mln zł, zgodnie z pojawiającymi się w publikatorach ekonomicznych i prasie samorządowej informacjami. W kolejnych latach prognozy nie zaplanowano dochodów z tego tytułu;</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dochody otrzymane od instytucji wdrażających na programy i projekty współfinansowane środkami zewnętrznymi skalkulowano mając na względzie porozumienia już zawarte oraz przewidywane do podpisania. Choć w perspektywie unijnej 2014-2020 znacznie większy nacisk położony został na rozwój infrastrukturalny (np. Zintegrowane Inwestycje Terytorialne) nie zabrakło również środków na tzw. projekty miękkie. Część z nich („Powiatowa Akademia Sukcesu Ucznia Szkoły Zawodowej”, „Powiatowe Centrum Usług Społecznych”) powiązana została z projektami infrastrukturalnymi. Część jednak jest od nich niezależna. Tak więc planowana wartość tego tytułu w roku 2020 wynosi 2,4 mln zł, w roku 2021 – 1,7 mln zł, a w następnych latach waha się w granicach 1,3-1,5 mln zł.</w:t>
      </w:r>
    </w:p>
    <w:p w:rsidR="00A77B3E">
      <w:pPr>
        <w:keepNext w:val="0"/>
        <w:keepLines w:val="0"/>
        <w:spacing w:before="120" w:after="120" w:line="240" w:lineRule="auto"/>
        <w:ind w:left="624"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Łączna wysokość dochodów z tytułów opisanych w ustępie 6 dla roku 2020 wynosi 26,9 mln zł. Ze względu na niższe dotacje unijne oraz nie planowanie po roku 2020 środków z Funduszu Pracy w roku 2021 obserwujemy spadek tego tytułu do poziomu 26,0 mln zł. Od roku 2022 do końca okresu prognozy odnotowuje się stabilizację całej grupy dochodów z nieznaczną tendencją rosnącą, tak aby w roku 2028 osiągnąć wysokość 26,9 mln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7. </w:t>
      </w:r>
      <w:r>
        <w:rPr>
          <w:rStyle w:val="Hyperlink"/>
          <w:rFonts w:ascii="Times New Roman" w:eastAsia="Times New Roman" w:hAnsi="Times New Roman" w:cs="Times New Roman"/>
          <w:b w:val="0"/>
          <w:i w:val="0"/>
          <w:caps w:val="0"/>
          <w:strike w:val="0"/>
          <w:color w:val="000000"/>
          <w:sz w:val="22"/>
          <w:u w:val="none" w:color="000000"/>
          <w:vertAlign w:val="baseline"/>
        </w:rPr>
        <w:t>pozostałe dochody bieżące, nie uwzględnione powyżej, obejmują:</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wpływy z tytułu opłat (plan na 2020 rok – 4,46 mln zł). Dochody te zaplanowano uwzględniając wykonania lat ubiegłych oraz przewidywane wykonanie roku 2019. Choć dochody z tego tytułu charakteryzują się od kilku już lat stosunkowo dużą stabilnością, pomiędzy rokiem 2019 a 2020 notuje się ich spadek (około 150 tys. zł), co związane jest, w głównej mierze, z innym podziałem środków z opłat i kar za gospodarcze korzystanie ze środowiska a także brakiem konieczności wymiany tablic rejestracyjnych przy zakupie używanego samochodu. Realizacja pozostałych elementów tego tytułu w przedmiocie opłat administracyjnych za wydanie dokumentów komunikacyjnych, za zajęcie pasa jezdni, wpływów z opłat za koncesje i licencje, opłat za trwały zarząd i użytkowanie wieczyste nieruchomości, opłat z tytułu zwrotu kosztów sądowych kształtuje się podobnie jak w latach ubiegłych. Tym też, oprócz informacji z wydziałów merytorycznych, kierowano się prognozując lata przyszłe. Uwzględniono więc coroczne, bardzo nieznaczne, wzrosty tego tytułu a jego wartość na koniec okresu prognozy zaplanowano na poziomie 4,6 mln zł;</w:t>
      </w:r>
    </w:p>
    <w:p w:rsidR="00A77B3E">
      <w:pPr>
        <w:keepNext w:val="0"/>
        <w:keepLines w:val="0"/>
        <w:spacing w:before="120" w:after="120" w:line="240" w:lineRule="auto"/>
        <w:ind w:left="340" w:right="0" w:hanging="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wpływy z usług (między innymi: od pensjonariuszy w DPS-ach, rozliczenia z tytułu pobytu dzieci w pieczy zastępczej, faktury za media i usługi geodezyjne), wpływy z najmu składników majątkowych, odsetki od nieterminowych wpłat oraz od środków zgromadzonych na rachunkach bankowych, 5% i 25% dochodów przynależnych powiatowi z tytułu realizacji zadań z zakresu administracji rządowej, zwroty środków z rozliczeń z lat ubiegłych oraz pozostałe nieznaczące wartościowo tytuły. Wielkość tych dochodów skalkulowano w oparciu o wykonanie roku bieżącego (skorygowane o uzyskane w roku obecnym znaczące wartościowo, acz incydentalne tytuły) oraz o informacje uzyskane z wydziałów merytorycznych w przedmiocie opłat za media, najmy, odpłatności od pensjonariuszy w DPS-ach. Dla roku 2020 stanowi to wielkość 14,9 mln zł. Rok 2021 przynosi niewielką ujemną korektę (nieco ponad 200 tys. zł) uwzględniającą ewentualne zmiany w prawie geodezyjnym czy zmniejszenie udziałów Powiatu w dochodach skarbu państwa w związku z przekształceniem prawa użytkowania wieczystego we własność. Od roku 2022 do końca prognozy dochody kształtują się na podobnym poziomie z tendencją rosnącą. I choć wzrosty w kolejnych latach nie są spektakularne to jednak systematyczne, a wartość omawianych wpływów założono w 2028 roku na poziomie 15,1 mln zł.</w:t>
      </w:r>
    </w:p>
    <w:p w:rsidR="00A77B3E">
      <w:pPr>
        <w:keepNext w:val="0"/>
        <w:keepLines w:val="0"/>
        <w:spacing w:before="120" w:after="120" w:line="240" w:lineRule="auto"/>
        <w:ind w:left="624"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odniesieniu do tytułów majątkowych ich główne składowe przedstawiają się następująco:</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dochody ze sprzedaży majątku – zaplanowano w oparciu o nieznacznie skorygowane informacje uzyskane z Wydziału Gospodarki Nieruchomościami (w aspekcie sprzedaży nieruchomości) oraz od pozostałych wydziałów i jednostek organizacyjnych (w aspekcie sprzedaży ruchomych składników majątkowych). Realizacja tego tytułu na przestrzeni ostatnich lat charakteryzuje się dużą losowością i przypadkowością – nie wykazując żadnego, wyraźnego trendu. Trwające obecnie prace nad podniesieniem atrakcyjności niektórych nieruchomości, dają pewne podstawy do twierdzenia, iż część z nich może zostać sprzedana w roku 2020 i w latach następnych. Ponieważ jednak ilość potencjalnie atrakcyjnych nieruchomości jest coraz mniejsza planowane dochody z tego tytułu od roku 2021 również wykazują tendencję malejącą. Zatem wartość planu w roku 2020 wynosi 1,1 mln zł a w każdym kolejnym roku jest coraz niższa aż do osiągnięcia poziomu 0,4 mln zł w latach 2026-2028;</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dochody z tytułu dotacji oraz środków przeznaczonych na inwestycje – założono w oparciu o podpisane lub planowane do podpisania umowy dotacyjne na zadania inwestycyjne. W roku 2020 wyróżnić można zatem środki z gmin, nadleśnictw oraz Funduszu Dróg Samorządowych na poprawę infrastruktury transportowej, z funduszy strukturalnych na inwestycje w infrastrukturze oświatowej i pomocy społecznej, z budżetu państwa na potrzeby utworzenia bloku operacyjnego w WSP S.A., czy też z Narodowego Funduszu Ochrony Środowiska i Gospodarki Wodnej na zadania związane z ochroną środowiska. Łącznie w przyszłym roku zaplanowano dochody w wysokości 21,6 mln zł. Tak znacząca kwota jest wynikiem kumulacji realizacji prac w ramach kilku ważnych przedsięwzięć inwestycyjnych. W kolejnych latach dochody z dotacji inwestycyjnych nie są już tak wysokie. Ich wielkości skalkulowano w oparciu o realizację tego tytułu na przestrzeni ostatnich kilku lat. Wzięto ponadto pod uwagę wykorzystanie szans, które mogą stworzyć aplikacje o środki zewnętrzne. Przyjęto tu poziomy dofinansowania po 1,5-1,9 mln zł z czterech źródeł, a mianowicie: z budżetu państwa, z funduszy celowych, z gmin oraz ze środków strukturalnych, co prognozuje łącznie około 7-8 mln zł rocznie.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Wahania w grupie dochodów ogółem, szczególnie zaś w okresie 2020-2022, determinowane są przeważnie zmianami związanymi z obszarem majątkowym. Dotyczy to zarówno dotacji jak też sprzedaży majątku. Do roku 2022 dotacje wykazują tendencję malejącą w związku z zakończeniem zadań współfinansowanych środkami zewnętrznymi. Od roku 2023 majątkowe dochody dotacyjne określone zostały szacunkowo w wysokościach porównywalnych dla całego dalszego okresu prognozy. Od tego momentu za wzrost dochodów ogółem odpowiedzialne są głównie pozycje dochodów bieżących (udziały w podatkach, subwencje, opłaty administracyjne, dotacje na zadania nieinwestycyjne). I pomimo faktu, iż poziomy tychże dochodów kształtują się pomiędzy wartością 169,8–176,4 mln zł, to jednak ich prognozowanie jest znacznie łatwiejsze w porównaniu z tytułami majątkowymi, bowiem obszar bieżący układa się zawsze w widoczne tendencje. Z kolei przy prognozowaniu dochodów majątkowych starano się nie opierać budżetów w poszczególnych latach o niepewne i często incydentalne dochody np. o dochody ze sprzedaży majątku. Planowane dochody z tytułu sprzedaży składników majątkowych kształtują się na poziomie 1,1 mln zł w roku 2020 z tendencją malejącą do 0,4 mln zł w roku 2028.</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Wydatki budżetowe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Wydatki budżetowe na rok 2020 wyliczono na kwotę 202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262</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769 zł, w tym:</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wydatki bieżące – 161 841 321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wydatki majątkowe – 40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421 448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 wielkość środków przeznaczonych na wydatki budżetowe w największym stopniu wpływają prognozowane dochody, uzupełnione (powiększone) przychodami – w roku 2020 tylko z wolnych środków pozostających na rachunku budżetu z rozliczenia działalności kredytobiorczej z lat ubiegłych, pomniejszone o wartość rozchodów – w praktyce gospodarczej Powiatu w całym okresie prognozy z tytułu spłaty pożyczki i wykupu obligacji komunalnych. Kształtowanie się wydatków ogółem w poszczególnych latach prognozy a także różnice pomiędzy planowanymi kwotami w poszczególnych latach skorelowane są ze stroną dochodową budżetu. Wydatki bieżące w latach 2020-2028 wykazują tendencję rosnącą. Najogólniej rzecz ujmując przyczyną jest, i będzie również w przyszłości, permanentny wzrost kosztów prowadzenia zadań. W wielu przypadkach zupełnie niezależny od działań Zarządu. W przypadku wynagrodzeń trzeba mieć na uwadze ustawowe podnoszenie płacy minimalnej, a w przypadku rzeczowych kosztów stałych wzrosty opłat za media, zakup materiałów oraz zakup drobnych, codziennych usług materialnych i niematerialnych. Wydatki majątkowe w latach 2020-2022 wykazują tendencję malejącą, co oczywiście powiązane jest ze stroną dochodową. Swoistego rodzaju pik inwestycyjny stanowi poziom wydatków w roku 2020, co po części wynika z kumulacji planowanych nakładów. Warto w tym miejscu podkreślić, iż cześć z przyszłorocznych zadań inwestycyjnych ma już zapewnione finansowanie, dla części jednak Powiat dopiero aplikuje o środki. W przypadku negatywnych rozstrzygnięć korekty planu nastąpią już w takcie wykonywania budżetu w 2020 roku. Od roku 2023 poziom wydatków majątkowych, wyraźnie już niższy niż przykładowo w latach 2020-2021, podnosi się jednakże w następnych latach systematycznie w sposób zauważalny.</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Łączna wartość planu wydatków na rok 2020 jest wyższa o 21,89 mln zł od planu roku 2019, według stanu na koniec października. W roku 2019 plan wydatków bieżących wynosi 159,71 mln zł, zaś plan na rok 2020 stanowi 161,84 mln zł. Jeśli chodzi o wydatki majątkowe w planie roku 2019 mamy 20,66 mln zł, zaś na rok 2020 przewiduje się 40,42 mln zł. Ponad połowa środków przeznaczonych na wydatki majątkowe pochodzić ma z dofinansowania zewnętrznego. Działania w tym segmencie nastawione są przede wszystkim na poprawę infrastruktury drogowej, ochronę zdrowia i pomoc społeczną, czy też na oświatę i edukacyjną opiekę wychowawczą. Jeśli chodzi o wydatki bieżące to w roku 2020, w stosunku do roku 2019 wg stanu na koniec października, notujemy: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wzrost wydatków na wynagrodzenia i pochodne;</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zmniejszenie wydatków związanych z bieżącym utrzymaniem infrastruktury;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wzrost wydatków przekazywanych w formie dotacji dla innych podmiotów;</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utrzymanie na podobnym poziomie kosztów obsługi zadłużenia oraz środków przekazywanych na świadczenia na rzecz osób fizycznych (np. rodziny zastępcze, stypendia, diety radnych);</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zmniejszenie wydatków na programy realizowane przy współudziale środków unijnych.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grupie wydatków:</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wynagrodzenia i składki od nich naliczane skalkulowano na rok 2020 w oparciu o skorygowane informacje przedstawione przez służby kadrowe Starostwa i powiatowych jednostek organizacyjnych. Wartości dla roku 2020 są znacząco wyższe niż choćby wartość planu roku obecnego wg stanu na koniec października 2019. W latach następnych planuje się dalsze wzrosty wynikające z podwyżek płacy minimalnej, a także spodziewanej presji płacowej ze strony pracowników oraz organizacji ich zrzeszających. Dodatkowo od roku 2021 obowiązywać będą w samorządach pracownicze plany kapitałowe, co nie pozostanie bez wpływu na koszty wynagrodzeń. Pomimo wysokiego zaangażowania środków istnieje pewne ryzyko, iż zaplanowane wartości na wynagrodzenia mogą okazać się niewystarczające, szczególnie w odniesieniu do oświaty i edukacyjnej opieki wychowawczej. Pod koniec przyszłego roku może zaistnieć konieczność zwiększenia planu na tym odcinku;</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wydatki z tytułu poręczeń i gwarancji –  odkąd w roku 2018 wygasło poręczenie udzielone na rzecz Wielospecjalistycznego Szpitala Powiatowego S.A. w Tarnowskich Górach na modernizację cieplną budynków Powiat nie udzielił oraz nie planuje udzielić poręczeń i gwarancji;</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wartości w wierszu obsługa długu wynikają z ustalonego przez pożyczkodawców oprocentowania oraz oprocentowania obligacji komunalnych. Uwzględniono także wydatki od możliwego do wykorzystania limitu kredytu w rachunku bieżącym. Kwota planu na przyszły rok jest porównywalna do planu na koniec października 2019 roku. Przy prognozowaniu tego tytułu kierowano się zasadą ostrożności co do kształtowania się stóp procentowych w przyszłości. Należy mieć bowiem na uwadze, że od kilku już lat kształtują się one na bardzo niskim poziomie;</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wysokość dochodów oraz wydatków na projekty i programy unijne ujęta w sekcji nr 9 pod nazwą „Finansowanie programów, projektów lub zadań realizowanych z udziałem środków, o których mowa w art. 5 ust.1 pkt 2 i pkt 3 ustawy o finansach publicznych” załącznika nr 1 została określona na podstawie umów już podpisanych, ale także umów zaplanowanych do zawarcia. Dla tych zadań procedury naboru są w trakcie, bądź będą przeprowadzane w roku 2020 i w dwóch następnych latach. Informacje te są zatem przedstawione do roku 2022, gdyż na moment sporządzania niniejszych objaśnień nie posiadamy wiedzy aby konkretne projekty unijne były realizowane w latach późniejszych. Ma to także odzwierciedlenie w załączniku nr 2 „Wykaz przedsięwzięć do WPF” w punkcie 1.1 gdzie limity wydatków zaplanowano do końca 2022 roku. Przy określaniu kwot wydatków wzięto pod uwagę także wkład własny niezbędny do realizacji zadań;</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5. </w:t>
      </w:r>
      <w:r>
        <w:rPr>
          <w:rStyle w:val="Hyperlink"/>
          <w:rFonts w:ascii="Times New Roman" w:eastAsia="Times New Roman" w:hAnsi="Times New Roman" w:cs="Times New Roman"/>
          <w:b w:val="0"/>
          <w:i w:val="0"/>
          <w:caps w:val="0"/>
          <w:strike w:val="0"/>
          <w:color w:val="000000"/>
          <w:sz w:val="22"/>
          <w:u w:val="none" w:color="000000"/>
          <w:vertAlign w:val="baseline"/>
        </w:rPr>
        <w:t>wydatki objęte limitem art. 226 ust. 3 są zgodne z wartościami wykazanymi w załączniku pod nazwą „Wykaz przedsięwzięć do WPF”. Wartości wykazane dotyczą, zarówno umów już podpisanych, jak i planowanych do podpisania;</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6. </w:t>
      </w:r>
      <w:r>
        <w:rPr>
          <w:rStyle w:val="Hyperlink"/>
          <w:rFonts w:ascii="Times New Roman" w:eastAsia="Times New Roman" w:hAnsi="Times New Roman" w:cs="Times New Roman"/>
          <w:b w:val="0"/>
          <w:i w:val="0"/>
          <w:caps w:val="0"/>
          <w:strike w:val="0"/>
          <w:color w:val="000000"/>
          <w:sz w:val="22"/>
          <w:u w:val="none" w:color="000000"/>
          <w:vertAlign w:val="baseline"/>
        </w:rPr>
        <w:t>w sekcji 10.7 pod nazwą „Wydatki zmniejszające dług” ujęto kwoty wynikające z podpisanej umowy leasingu samochodu osobowego na potrzeby Starostwa Powiatowego. Umowa, która została zawarta w drugiej połowie 2019 roku obowiązywać będzie do roku 2023. Comiesięcznie z tego tytułu angażowane są środki w wysokości nieco ponad 1</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600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Przychody i rozchody budżetu</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Planowane przychody dotyczą tylko roku 2020. Są to wolne środki uzyskane z rozliczenia działalności kredytobiorczej budżetu w latach ubiegłych w kwocie 9</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700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 Kwota przychodów z wolnych środków na rok 2020 wyliczona została w oparciu o wykonanie podstawowych kategorii w budżecie na koniec III kwartału 2019 roku a także przewidywania co do kształtowania się podstawowych kategorii budżetu na koniec roku 2019.</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wierszu rozchody ogółem ujęto spłatę zaciągniętej pożyczki inwestycyjnej oraz wykup wyemitowanych obligacji komunalnych w wysokościach określonych w odnośnych harmonogramach spłat. Niższa wartość rozchodów w roku 2020, w stosunku do lat następnych, wynika z wykupu w roku 2019 dwóch transz obligacji wyemitowanych w roku 2015 w ramach programu postępowania naprawczego. W roku 2020 spłata rozchodów będzie dokonywana z przychodów z wolnych środków. Począwszy od roku 2021 wygenerowana nadwyżka budżetowa, a więc różnica pomiędzy dochodami a wydatkami ogółem, przeznaczana będzie w całości na spłatę zobowiązań dłużnych.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roku 2020 rozchody (kwota 404</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 obejmują następujące tytuły:</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spłata rat pożyczki inwestycyjnej na realizację odwodnienia drogi Kalety-Miotek zaciągniętej w WFOŚiGW w Katowicach w dwóch transzach w latach 2016-2017 – kwota 154</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wykup obligacji komunalnych wyemitowanych w roku 2019 celem spłaty wcześniej zaciągniętych zobowiązań dłużnych oraz realizacji inwestycji – kwota 250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Prognoza kwoty długu i spłat zobowiązań</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 planowaną łączną kwotę długu na koniec 2020 roku (17</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763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752 zł) składają się następujące pozycje:</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1. </w:t>
      </w:r>
      <w:r>
        <w:rPr>
          <w:rStyle w:val="Hyperlink"/>
          <w:rFonts w:ascii="Times New Roman" w:eastAsia="Times New Roman" w:hAnsi="Times New Roman" w:cs="Times New Roman"/>
          <w:b w:val="0"/>
          <w:i w:val="0"/>
          <w:caps w:val="0"/>
          <w:strike w:val="0"/>
          <w:color w:val="000000"/>
          <w:sz w:val="22"/>
          <w:u w:val="none" w:color="000000"/>
          <w:vertAlign w:val="baseline"/>
        </w:rPr>
        <w:t>obligacje komunalne wyemitowane w roku 2015. Pozostała do wykupu kwota to 13</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155</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2. </w:t>
      </w:r>
      <w:r>
        <w:rPr>
          <w:rStyle w:val="Hyperlink"/>
          <w:rFonts w:ascii="Times New Roman" w:eastAsia="Times New Roman" w:hAnsi="Times New Roman" w:cs="Times New Roman"/>
          <w:b w:val="0"/>
          <w:i w:val="0"/>
          <w:caps w:val="0"/>
          <w:strike w:val="0"/>
          <w:color w:val="000000"/>
          <w:sz w:val="22"/>
          <w:u w:val="none" w:color="000000"/>
          <w:vertAlign w:val="baseline"/>
        </w:rPr>
        <w:t>zaciągnięta w dwóch transzach pożyczka inwestycyjna w WFOŚiGW w Katowicach na realizację budowy odwodnienia drogi powiatowej 3248S Kalety – Miotek. Pozostała, planowana do spłaty kwota to 307</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099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3. </w:t>
      </w:r>
      <w:r>
        <w:rPr>
          <w:rStyle w:val="Hyperlink"/>
          <w:rFonts w:ascii="Times New Roman" w:eastAsia="Times New Roman" w:hAnsi="Times New Roman" w:cs="Times New Roman"/>
          <w:b w:val="0"/>
          <w:i w:val="0"/>
          <w:caps w:val="0"/>
          <w:strike w:val="0"/>
          <w:color w:val="000000"/>
          <w:sz w:val="22"/>
          <w:u w:val="none" w:color="000000"/>
          <w:vertAlign w:val="baseline"/>
        </w:rPr>
        <w:t>obligacje komunalne wyemitowane w roku 2019. Pozostała do wykupu kwota to 4</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250</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000 zł;</w:t>
      </w:r>
    </w:p>
    <w:p w:rsidR="00A77B3E">
      <w:pPr>
        <w:keepNext w:val="0"/>
        <w:keepLines/>
        <w:spacing w:before="120" w:after="120" w:line="240" w:lineRule="auto"/>
        <w:ind w:left="0" w:right="0" w:firstLine="340"/>
        <w:jc w:val="both"/>
        <w:rPr>
          <w:rStyle w:val="Hyperlink"/>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sz w:val="22"/>
        </w:rPr>
        <w:t>4. </w:t>
      </w:r>
      <w:r>
        <w:rPr>
          <w:rStyle w:val="Hyperlink"/>
          <w:rFonts w:ascii="Times New Roman" w:eastAsia="Times New Roman" w:hAnsi="Times New Roman" w:cs="Times New Roman"/>
          <w:b w:val="0"/>
          <w:i w:val="0"/>
          <w:caps w:val="0"/>
          <w:strike w:val="0"/>
          <w:color w:val="000000"/>
          <w:sz w:val="22"/>
          <w:u w:val="none" w:color="000000"/>
          <w:vertAlign w:val="baseline"/>
        </w:rPr>
        <w:t>leasing samochodu osobowego na potrzeby Starostwa Powiatowego. Pozostała, planowana do uregulowania kwota to 51</w:t>
      </w:r>
      <w:r>
        <w:rPr>
          <w:rStyle w:val="Hyperlink"/>
          <w:rFonts w:ascii="Times New Roman" w:eastAsia="Times New Roman" w:hAnsi="Times New Roman" w:cs="Times New Roman"/>
          <w:b w:val="0"/>
          <w:i w:val="0"/>
          <w:caps w:val="0"/>
          <w:strike w:val="0"/>
          <w:color w:val="000000"/>
          <w:sz w:val="22"/>
          <w:u w:val="none" w:color="000000"/>
          <w:vertAlign w:val="baseline"/>
        </w:rPr>
        <w:t> </w:t>
      </w:r>
      <w:r>
        <w:rPr>
          <w:rStyle w:val="Hyperlink"/>
          <w:rFonts w:ascii="Times New Roman" w:eastAsia="Times New Roman" w:hAnsi="Times New Roman" w:cs="Times New Roman"/>
          <w:b w:val="0"/>
          <w:i w:val="0"/>
          <w:caps w:val="0"/>
          <w:strike w:val="0"/>
          <w:color w:val="000000"/>
          <w:sz w:val="22"/>
          <w:u w:val="none" w:color="000000"/>
          <w:vertAlign w:val="baseline"/>
        </w:rPr>
        <w:t>653 zł.</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Integralną, i jedną z najważniejszych, składowych każdej wieloletniej prognozy finansowej stanowi wyliczenie dwóch podstawowych, ustawowych wskaźników, które decydują o możliwościach uchwalenia, zarówno prognozy, jak również budżetu na rok następny. Chodzi tu mianowicie o wskaźniki określone w art. 242 i 243 ustawy o finansach publicznych pokazane w sekcjach 7 i 8 załącznika nr 1.</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Relacja z art. 242 uofp, stanowiąca różnicę pomiędzy dochodami a wydatkami bieżącymi, zawsze przyjmuje wartości dodatnie, co oznacza jej spełnienie w każdym roku objętym prognozą. Różnice te są na tyle wysokie, że powodują, iż budżet posiada rezerwę na wypadek wystąpienia nieprzewidzianych okoliczności w postaci np. przeznaczenia wydatków majątkowych na realizację wydatków bieżących czy też dodatkowego finansowania wydatków bieżących przychodami. Podobnie dla całego okresu prognozy spełniona jest też relacja z art. 243 uofp określająca indywidualny wskaźnik zadłużenia, przyjmując do obliczeń zarówno plan na koniec III kwartału roku 2019, jak też przewidywane wykonanie tegoż roku. Planowany wskaźnik długu jest niższy od wskaźnika dopuszczalnej spłaty. Ważne w kontekście uzyskania pożądanych relacji jest przeznaczanie części dochodów bieżących na realizację zadań inwestycyjnych a także konsolidacja zadłużenia, która miała miejsce w roku 2015.</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 xml:space="preserve">Wykaz przedsięwzięć realizowanych w latach 2020-2023 </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Wykaz przedsięwzięć, stanowiący załącznik nr 2 do uchwały w sprawie Wieloletniej Prognozy Finansowej Powiatu Tarnogórskiego, sporządzono do roku 2023, ponieważ do tego roku określono limity wydatków dla przedsięwzięcia z najdłuższym horyzontem czasowym – to jest wspominanego powyżej zadania związanego z leasingiem samochodu. Wykaz obejmuje przedsięwzięcia, dla których umowy zostały już podpisane, oraz te, dla których Powiat planuje aplikować o środki.</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Nakłady na wszystkie przedsięwzięcia ujęte w wykazie obejmują wydatki łączne finansowane ze źródeł opisanych w zawartych umowach (środki pomocowe w postaci środków strukturalnych i dotacji z budżetu państwa, ewentualnie dochody własne z budżetu powiatowego traktowane jako udział). Niektóre przedsięwzięcia kończące się w roku 2020 są kontynuacją zadań dwu a nawet trzyletnich. Umieszczono je w wykazie przedsięwzięć oraz wieloletniej prognozie ze względu na zachowanie ciągłości w procedurach budżetowania.</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wierszu 1.1 poświęconemu projektom i zadaniom związanym z programami realizowanymi z udziałem środków pochodzących z budżetu Unii Europejskiej, a także z innych źródeł zagranicznych nie podlegających zwrotowi, po stronie wydatków bieżących uwzględniono zadania wieloletnie realizowane w oświacie i pomocy społecznej. Podmiotami realizującymi są Starostwo Powiatowe, jednostki oświatowe oraz Powiatowe Centrum Pomocy Rodzinie. Ilościowo dominują tu projekty o łącznej wartości poniżej 1,0 mln zł związane często z odbywaniem praktyk zagranicznych w krajach wymiany a także rozwijaniem kompetencji poprzez dydaktyczne zajęcia wyrównawcze oparte na metodzie eksperymentu. Dwa projekty „miękkie” tj. „Powiatowa Akademia Sukcesu Ucznia Szkoły Zawodowej” oraz „Powiatowe Centrum Usług Społecznych” związane są z zadaniami infrastrukturalnymi w ramach Zintegrowanych Inwestycji Terytorialnych. Na uwagę zasługuje ponadto program, dla którego Powiat planuje dopiero aplikować o środki pn. „Pomoc, Wsparcie, Samodzielność – rozwój usług społecznych i mieszkalnictwa chronionego w Powiecie Tarnogórskim” obejmujący, zarówno wydatki bieżące, jak też majątkowe związane z adaptacją pomieszczeń na potrzeby utworzenia mieszkań chronionych.</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W roku 2019 zakończona została realizacja zadań inwestycyjnych w ramach Zintegrowanych Inwestycji Terytorialnych. Uzyskane środki pozytywnie wpłynęły na rozwój infrastruktury, przede wszystkim w oświacie i administracji. W obecnym momencie nie ma już programów dających niemalże stuprocentową gwarancję uzyskania środków dotacyjnych. Powiat przekonał się o tym choćby na przykładzie termomodernizacji Domu Pomocy Społecznej „Przyjaźń” gdzie nie otrzymano dofinansowania, a podstawowe prace, w bardzo okrojonej wersji, należało wykonać ze środków własnych. Nadal jednak planuje się aplikować o środki celem wykonania trzech przedsięwzięć w latach 2020-2021. Zestawienie zaangażowania środków własnych oraz planowanych do pozyskania z zewnątrz na zadania inwestycyjne prezentuje poniższa tabela nr 1.</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Tabela nr 1</w:t>
      </w:r>
      <w:r>
        <w:rPr>
          <w:rStyle w:val="Hyperlink"/>
          <w:rFonts w:ascii="Times New Roman" w:eastAsia="Times New Roman" w:hAnsi="Times New Roman" w:cs="Times New Roman"/>
          <w:b w:val="0"/>
          <w:i w:val="0"/>
          <w:caps w:val="0"/>
          <w:strike w:val="0"/>
          <w:color w:val="000000"/>
          <w:sz w:val="22"/>
          <w:u w:val="none" w:color="000000"/>
          <w:vertAlign w:val="baseline"/>
        </w:rPr>
        <w:t xml:space="preserve"> Zestawienie zaangażowania środków własnych oraz planowanych do pozyskania z zewnątrz na wieloletnie zadania inwestycyjne realizowane z udziałem środków pochodzących z budżetu Unii Europejskiej a także innych źródeł zagranicznych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4306"/>
        <w:gridCol w:w="2269"/>
        <w:gridCol w:w="1735"/>
        <w:gridCol w:w="19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Nazwa programu</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Łączne nakłady</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Rok 2020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Rok 2021</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Pomoc, Wsparcie, Samodzielność – rozwój usług społecznych i mieszkalnictwa chronionego w Powiecie Tarnogórskim</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263 000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26 000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237 000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263 000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26 000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237 000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2.Remont i wyposażenie laboratoriów w Zespole Szkół Chemiczno-Medycznych i Ogólnokształcących w Tarnowskich Górach</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1 560 000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780 000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750 000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1 195 559</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558 559</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637 000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364 441</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221 441</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113 000</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 xml:space="preserve">3.Termomodernizacja budynku szkoły Zespołu Szkół Technicznych i Ogólnokształcących w Tarnowskich Górach, ul. Sienkiewicza 23  </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3 331 800</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3 299 820</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2 527 668</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2 527 668</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204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804 132</w:t>
            </w:r>
          </w:p>
        </w:tc>
        <w:tc>
          <w:tcPr>
            <w:tcW w:w="156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772 152</w:t>
            </w:r>
          </w:p>
        </w:tc>
        <w:tc>
          <w:tcPr>
            <w:tcW w:w="17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bl>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Należy w tym miejscu wyjaśnić, iż dla inwestycji wymienionych w punktach 2 i 3 Tabeli nr 1 pełny zakres robót obejmuje koszty sfinansowane planowaną dotacją (ostatnia cyfra paragrafu „7”), wkład własny kwalifikowany (ostatnia cyfra paragrafu „9”), jak też wkład własny niekwalifikowany (ostatnia cyfra paragrafu zgodnie z wytycznymi instytucji wdrażającej „0”). Celem zachowania spójności danych oraz przejrzystości i czytelności sporządzanego materiału całość kosztów pokazano w wierszu 1.1 „Wykazu przedsięwzięć do WPF” ukazującego wydatki na programy współfinansowane środkami unijnymi.</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Powiat Tarnogórski w okresie objętym prognozą nie przewiduje realizacji projektów lub zadań związanych z umowami partnerstwa publiczno-prywatnego (wiersz 1.2).</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Pozostałe programy, projekty lub zadania określone w wierszu 1.3 obejmują segment bieżący i majątkowy. Realizowane zadania dotyczą wielu obszarów funkcjonowania Powiatu, w tym infrastruktury drogowej, administracji, pomocy społecznej, oświaty oraz ochrony zdrowia. To właśnie na odcinku pozyskiwania dotacyjnych środków krajowych rysują się obecnie lepsze perspektywy. Możliwość taką daje współpraca z gminami oraz innymi podmiotami z terenu Powiatu (nadleśnictwa). Nowo utworzony Fundusz Dróg Samorządowych, a także istniejące od dawna fundusze, takie jak narodowy lub wojewódzkie fundusze ochrony środowiska i gospodarki wodnej, uruchamiają programy pozwalające aplikować o środki. Można także zwracać się o środki z budżetu państwa. Z wszystkich tych opcji Powiat korzystał bądź planuje skorzystać w roku 2020 i w latach przyszłych. Poniższa tabela nr 2 ukazuje planowane do pozyskania środki współfinansujące pozostałe wieloletnie zadania inwestycyjne.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val="0"/>
          <w:caps w:val="0"/>
          <w:strike w:val="0"/>
          <w:color w:val="000000"/>
          <w:sz w:val="22"/>
          <w:u w:val="none" w:color="000000"/>
          <w:vertAlign w:val="baseline"/>
        </w:rPr>
        <w:t>Tabela nr 2</w:t>
      </w:r>
      <w:r>
        <w:rPr>
          <w:rStyle w:val="Hyperlink"/>
          <w:rFonts w:ascii="Times New Roman" w:eastAsia="Times New Roman" w:hAnsi="Times New Roman" w:cs="Times New Roman"/>
          <w:b w:val="0"/>
          <w:i w:val="0"/>
          <w:caps w:val="0"/>
          <w:strike w:val="0"/>
          <w:color w:val="000000"/>
          <w:sz w:val="22"/>
          <w:u w:val="none" w:color="000000"/>
          <w:vertAlign w:val="baseline"/>
        </w:rPr>
        <w:t xml:space="preserve"> Zestawienie zaangażowania środków własnych oraz planowanych do pozyskania z zewnątrz na pozostałe wieloletnie zadania inwestycyjne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3458"/>
        <w:gridCol w:w="2026"/>
        <w:gridCol w:w="1664"/>
        <w:gridCol w:w="1664"/>
        <w:gridCol w:w="140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Nazwa programu</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Łączne nakłady</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Rok 2020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Rok 2021</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center"/>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Rok 2022</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1.Adaptacja byłej kuchni w budynku WSP S.A. na potrzeby bloku operacyjnego i centralnej sterylizatorni</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14 889 174</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14 649 324</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6 319 587</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6 319 587</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8 569 587</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8 329 737</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2.Przebudowa ulicy Powstańców Śląskich w Tarnowskich Górach</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7 158 600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6 880 000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5 351 000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5 160 000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1 807 600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1 720 000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 xml:space="preserve">3.Rozbudowa drogi powiatowej 3200S na odcinku od DK 78 do ulicy Mickiewicza w m. Ossy Gmina Ożarowice </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8 588 750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1 749 000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5 630 090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874 500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2 958 660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874 500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4.Budowa ścieżki rowerowej na odcinku Laryszów-Miedary (droga 3218S) w Zbrosławicach</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1 977 672</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1 257 672</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1 453 254</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943 254</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524 418</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314 418</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5.Termomodernizacja budynku Domu Pomocy Społecznej w Łubiu</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3 765 000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1 040 000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1 750 000</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910 000</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2 970 000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840 000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1 400 000</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730 000</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795 000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200 000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350 000</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180 000</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6.Rozbudowa DP3210S i DP3207S ul. Główna w Zendku</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5 802 900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5 520 000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b/>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środki zewnętrzne</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4 481 450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4 340 000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r>
        <w:tblPrEx>
          <w:tblW w:w="5000" w:type="pct"/>
          <w:tblLayout w:type="fixed"/>
          <w:tblCellMar>
            <w:left w:w="108" w:type="dxa"/>
            <w:right w:w="108" w:type="dxa"/>
          </w:tblCellMar>
        </w:tblPrEx>
        <w:trPr>
          <w:trHeight w:hRule="auto" w:val="0"/>
        </w:trPr>
        <w:tc>
          <w:tcPr>
            <w:tcW w:w="31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both"/>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wkład własny</w:t>
            </w:r>
          </w:p>
        </w:tc>
        <w:tc>
          <w:tcPr>
            <w:tcW w:w="184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1 321 450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1 180 000</w:t>
            </w:r>
          </w:p>
        </w:tc>
        <w:tc>
          <w:tcPr>
            <w:tcW w:w="151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c>
          <w:tcPr>
            <w:tcW w:w="127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top"/>
          </w:tcPr>
          <w:p w:rsidR="00A77B3E">
            <w:pPr>
              <w:spacing w:before="0" w:after="0"/>
              <w:jc w:val="right"/>
              <w:rPr>
                <w:rStyle w:val="Hyperlink"/>
                <w:rFonts w:ascii="Times New Roman" w:eastAsia="Times New Roman" w:hAnsi="Times New Roman" w:cs="Times New Roman"/>
                <w:b w:val="0"/>
                <w:i w:val="0"/>
                <w:caps w:val="0"/>
                <w:strike w:val="0"/>
                <w:color w:val="000000"/>
                <w:sz w:val="22"/>
                <w:u w:val="none" w:color="000000"/>
                <w:vertAlign w:val="baseline"/>
              </w:rPr>
            </w:pPr>
            <w:r>
              <w:rPr>
                <w:sz w:val="20"/>
              </w:rPr>
              <w:t>-</w:t>
            </w:r>
          </w:p>
        </w:tc>
      </w:tr>
    </w:tbl>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i/>
          <w:caps w:val="0"/>
          <w:strike w:val="0"/>
          <w:color w:val="000000"/>
          <w:sz w:val="22"/>
          <w:u w:val="none" w:color="000000"/>
          <w:vertAlign w:val="baseline"/>
        </w:rPr>
        <w:t>Podsumowanie</w:t>
      </w:r>
    </w:p>
    <w:p w:rsidR="00A77B3E">
      <w:pPr>
        <w:keepNext w:val="0"/>
        <w:keepLines w:val="0"/>
        <w:spacing w:before="120" w:after="120" w:line="240" w:lineRule="auto"/>
        <w:ind w:left="283" w:right="0" w:firstLine="227"/>
        <w:jc w:val="both"/>
        <w:rPr>
          <w:rStyle w:val="Hyperlink"/>
          <w:rFonts w:ascii="Times New Roman" w:eastAsia="Times New Roman" w:hAnsi="Times New Roman" w:cs="Times New Roman"/>
          <w:b w:val="0"/>
          <w:i w:val="0"/>
          <w:caps w:val="0"/>
          <w:strike w:val="0"/>
          <w:color w:val="000000"/>
          <w:sz w:val="22"/>
          <w:u w:val="none" w:color="000000"/>
          <w:vertAlign w:val="baseline"/>
        </w:rPr>
      </w:pPr>
      <w:r>
        <w:rPr>
          <w:rStyle w:val="Hyperlink"/>
          <w:rFonts w:ascii="Times New Roman" w:eastAsia="Times New Roman" w:hAnsi="Times New Roman" w:cs="Times New Roman"/>
          <w:b w:val="0"/>
          <w:i w:val="0"/>
          <w:caps w:val="0"/>
          <w:strike w:val="0"/>
          <w:color w:val="000000"/>
          <w:sz w:val="22"/>
          <w:u w:val="none" w:color="000000"/>
          <w:vertAlign w:val="baseline"/>
        </w:rPr>
        <w:t>Celem wieloletniej prognozy finansowej, sporządzonej realistycznie i zgodnie ze stanem faktycznym, jest dostarczanie informacji o sytuacji budżetu na przestrzeni kilku najbliższych lat oraz, na tej podstawie, wspomaganie procesu zarządzania finansami jednostki. Spełnienie w całym okresie prognozy relacji określonych w art. 242 i 243 ustawy o finansach publicznych pozwala na uchwalenie przyszłorocznego budżetu oraz daje pewne poczucie bezpieczeństwa jeżeli chodzi o konstruowanie i uchwalanie przyszłych budżetów. Wprowadzone obecnie uregulowania dotyczące formuł wyliczania wskaźników spłaty zobowiązań, w realiach budżetowych Powiatu Tarnogórskiego, wyraźnie poprawiły relacje zadłużeniowe. Mówimy tutaj szczególnie o poziomach wskaźników dopuszczalnych limitów spłaty. Sytuacja powyższa jest nader optymistyczna i krzepiąca, przede wszystkim w kontekście możliwości oczekiwania budżetów bardziej rozwojowych – proinwestycyjnych. Wynika to, w głównej mierze, z nieco większej swobody w prowadzeniu gospodarki finansowej mocniej opartej o finansowanie zewnętrzne. Z drugiej jednakże strony nie można zapominać o całokształcie budżetu. Należy ponadto mieć na względzie dynamicznie zmieniające się otoczenie gospodarcze i prawne. Tylko bowiem ciągła analiza i właściwa interpretacja bieżących zdarzeń może dać sygnał do odpowiednio wczesnej reakcji w celu uniknięcia ewentualnych problemów finansowych w przyszłości.</w:t>
      </w:r>
    </w:p>
    <w:sectPr>
      <w:footerReference w:type="default" r:id="rId8"/>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8E9A1C36-09CE-4507-9963-91FDA2600B05.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8E9A1C36-09CE-4507-9963-91FDA2600B05.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8E9A1C36-09CE-4507-9963-91FDA2600B05.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8E9A1C36-09CE-4507-9963-91FDA2600B05. Podpisany</w:t>
          </w:r>
        </w:p>
      </w:tc>
      <w:tc>
        <w:tcPr>
          <w:tcW w:w="3402" w:type="dxa"/>
          <w:tcBorders>
            <w:top w:val="single" w:sz="2" w:space="0" w:color="auto"/>
            <w:left w:val="nil"/>
            <w:bottom w:val="nil"/>
            <w:right w:val="nil"/>
          </w:tcBorders>
          <w:noWrap w:val="0"/>
          <w:tcMar>
            <w:top w:w="100" w:type="dxa"/>
            <w:left w:w="0" w:type="dxa"/>
            <w:bottom w:w="0" w:type="dxa"/>
            <w:right w:w="0" w:type="dxa"/>
          </w:tcMar>
          <w:textDirection w:val="lrTb"/>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2018r. poz. 2245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1815</w:t>
      </w:r>
    </w:p>
  </w:footnote>
  <w:footnote w:id="2">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1903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XV/156/2019 z dnia 17 grudnia 2019 r.</dc:title>
  <dc:subject>w sprawie Wieloletniej Prognozy Finansowej Powiatu Tarnogórskiego na lata 2020-2028</dc:subject>
  <dc:creator>nr367</dc:creator>
  <cp:lastModifiedBy>nr367</cp:lastModifiedBy>
  <cp:revision>1</cp:revision>
  <dcterms:created xsi:type="dcterms:W3CDTF">2019-12-18T10:31:48Z</dcterms:created>
  <dcterms:modified xsi:type="dcterms:W3CDTF">2019-12-18T10:31:48Z</dcterms:modified>
  <cp:category>Akt prawny</cp:category>
</cp:coreProperties>
</file>