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B156F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XIII/146/2019</w:t>
      </w:r>
      <w:r>
        <w:rPr>
          <w:b/>
          <w:caps/>
        </w:rPr>
        <w:br/>
        <w:t>Rady Powiatu Tarnogórskiego</w:t>
      </w:r>
    </w:p>
    <w:p w:rsidR="00A77B3E" w:rsidRDefault="00AB156F">
      <w:pPr>
        <w:spacing w:before="280" w:after="280"/>
        <w:jc w:val="center"/>
        <w:rPr>
          <w:b/>
          <w:caps/>
        </w:rPr>
      </w:pPr>
      <w:r>
        <w:t>z dnia 29 października 2019 r.</w:t>
      </w:r>
    </w:p>
    <w:p w:rsidR="00A77B3E" w:rsidRDefault="00AB156F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2019-2028</w:t>
      </w:r>
    </w:p>
    <w:p w:rsidR="00A77B3E" w:rsidRDefault="00AB156F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226, art. 227, art. 228, art. 229, art. 230, art. 231, </w:t>
      </w:r>
      <w:r>
        <w:t>art. 232, art. 242 i art. 243 ustawy z dnia 27 sierpnia 2009 roku o finansach publicznych (tekst jednolity: Dz. U. z 2019r. poz. 869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</w:t>
      </w:r>
      <w:r>
        <w:rPr>
          <w:color w:val="000000"/>
          <w:u w:color="000000"/>
        </w:rPr>
        <w:t>j jednostki samorządu terytorialnego (tekst jednolity: Dz. U. z 2015r. poz. 92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AB156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AB15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Załącznik nr 1 do uchwały nr II/33/2018 Rady Powiatu Tarnogórskiego z dnia 18 grudnia 2018 roku w sprawie Wieloletniej Prognozy Finanso</w:t>
      </w:r>
      <w:r>
        <w:rPr>
          <w:color w:val="000000"/>
          <w:u w:color="000000"/>
        </w:rPr>
        <w:t>wej Powiatu Tarnogórskiego na lata 2019-2028 otrzymuje brzmienie według załącznika nr 1 do niniejszej uchwały.</w:t>
      </w:r>
    </w:p>
    <w:p w:rsidR="00A77B3E" w:rsidRDefault="00AB15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II/33/2018 Rady Powiatu Tarnogórskiego z dnia 18 grudnia 2018 roku w sprawie Wieloletniej Prognozy Finansowej P</w:t>
      </w:r>
      <w:r>
        <w:rPr>
          <w:color w:val="000000"/>
          <w:u w:color="000000"/>
        </w:rPr>
        <w:t>owiatu Tarnogórskiego na lata 2019-2028 otrzymuje brzmienie według załącznika nr 2 do niniejszej uchwały.</w:t>
      </w:r>
    </w:p>
    <w:p w:rsidR="00A77B3E" w:rsidRDefault="00AB15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2019-2028 w związku ze zmianami dokonanymi w bud</w:t>
      </w:r>
      <w:r>
        <w:rPr>
          <w:color w:val="000000"/>
          <w:u w:color="000000"/>
        </w:rPr>
        <w:t>żecie Powiatu Tarnogórskiego.</w:t>
      </w:r>
    </w:p>
    <w:p w:rsidR="00A77B3E" w:rsidRDefault="00AB15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AB156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AB156F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AB156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C063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63D" w:rsidRDefault="00CC063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63D" w:rsidRDefault="00AB156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AB156F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AB156F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XIII/146/2019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29 października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AB156F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XIII/146/2019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29 października 2019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AB156F">
      <w:pPr>
        <w:keepNext/>
        <w:spacing w:before="120" w:after="120" w:line="360" w:lineRule="auto"/>
        <w:ind w:left="5498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XIII/146/2019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29 października 2019 r.</w:t>
      </w:r>
    </w:p>
    <w:p w:rsidR="00A77B3E" w:rsidRDefault="00AB156F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 xml:space="preserve">Objaśnienia do zmian </w:t>
      </w:r>
      <w:r>
        <w:rPr>
          <w:rStyle w:val="Hipercze"/>
          <w:b/>
          <w:color w:val="000000"/>
          <w:u w:val="none" w:color="000000"/>
        </w:rPr>
        <w:t>kategorii i wartości przyjętych w Wieloletniej Prognozie Finansowej Powiatu Tarnogórskiego na lata 2019 – 2028</w:t>
      </w:r>
    </w:p>
    <w:p w:rsidR="00A77B3E" w:rsidRDefault="00AB156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prognozie i przedsięwzięciach wieloletnich są rezultatem zdarzeń gospodarczych mających miejsce w miesiącach wrześniu i październiku. Wp</w:t>
      </w:r>
      <w:r>
        <w:rPr>
          <w:rStyle w:val="Hipercze"/>
          <w:color w:val="000000"/>
          <w:u w:val="none" w:color="000000"/>
        </w:rPr>
        <w:t>łynęły one na wartości podstawowych kategorii w roku bieżącym. Zmianom uległy również dane dotyczące lat przyszłych. W poniższej tabeli przedstawiono zmiany podstawowych kategorii dla roku 2019 pomiędzy obecną a 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04"/>
        <w:gridCol w:w="2615"/>
        <w:gridCol w:w="2117"/>
        <w:gridCol w:w="1728"/>
      </w:tblGrid>
      <w:tr w:rsidR="00CC063D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B156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L</w:t>
            </w:r>
            <w:r>
              <w:rPr>
                <w:b/>
              </w:rPr>
              <w:t>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B156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B156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Wartość WPF z dnia 24.09.2019r.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B156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B156F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Różnica</w:t>
            </w:r>
          </w:p>
        </w:tc>
      </w:tr>
      <w:tr w:rsidR="00CC063D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B156F">
            <w:pPr>
              <w:rPr>
                <w:rStyle w:val="Hipercze"/>
                <w:color w:val="000000"/>
                <w:u w:val="none" w:color="000000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180 060 383,77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179 458 006,44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-602 377,33</w:t>
            </w:r>
          </w:p>
        </w:tc>
      </w:tr>
      <w:tr w:rsidR="00CC063D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B156F">
            <w:pPr>
              <w:rPr>
                <w:rStyle w:val="Hipercze"/>
                <w:color w:val="000000"/>
                <w:u w:val="none" w:color="000000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180 874 756,77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180 272 379,44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-602 377,33</w:t>
            </w:r>
          </w:p>
        </w:tc>
      </w:tr>
      <w:tr w:rsidR="00CC063D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B156F">
            <w:pPr>
              <w:rPr>
                <w:rStyle w:val="Hipercze"/>
                <w:color w:val="000000"/>
                <w:u w:val="none" w:color="000000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-814 373,00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-814 373,00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CC063D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B156F">
            <w:pPr>
              <w:rPr>
                <w:rStyle w:val="Hipercze"/>
                <w:color w:val="000000"/>
                <w:u w:val="none" w:color="000000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4 968 373,00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4 968 373,00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CC063D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B156F">
            <w:pPr>
              <w:rPr>
                <w:rStyle w:val="Hipercze"/>
                <w:color w:val="000000"/>
                <w:u w:val="none" w:color="000000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4 154 000,00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4 154 000,00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CC063D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B156F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6 605 132,00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6 611 206,00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B156F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6 074,00</w:t>
            </w:r>
          </w:p>
        </w:tc>
      </w:tr>
    </w:tbl>
    <w:p w:rsidR="00A77B3E" w:rsidRDefault="00AB156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planowanych dochodach dotyczyły:</w:t>
      </w:r>
    </w:p>
    <w:p w:rsidR="00A77B3E" w:rsidRDefault="00AB156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zmniejszenia dotacji z budżetu państwa na zadanie adaptacji byłej kuchni budynku szpitala na potrzeby bloku operacyjnego i centralnej sterylizatorni, w związku z planowaną realizacją robót w roku 2020;</w:t>
      </w:r>
    </w:p>
    <w:p w:rsidR="00A77B3E" w:rsidRDefault="00AB156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zmniejszenia dotacji z Miasta Tarnowskie Góry na za</w:t>
      </w:r>
      <w:r>
        <w:rPr>
          <w:rStyle w:val="Hipercze"/>
          <w:color w:val="000000"/>
          <w:u w:val="none" w:color="000000"/>
        </w:rPr>
        <w:t>danie przebudowy ulicy Powstańców w związku z planowaną realizacją zadania w roku przyszłym, przy jednoczesnym wprowadzeniu do tegorocznego budżetu dotacji z Miasta Tarnowskie Góry na przebudowę skrzyżowania ulic Janasa, Sielanka, Starotarnowicka;</w:t>
      </w:r>
    </w:p>
    <w:p w:rsidR="00A77B3E" w:rsidRDefault="00AB156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wprowadzenia do budżetu środków unijnych na realizację następujących projektów:</w:t>
      </w:r>
    </w:p>
    <w:p w:rsidR="00A77B3E" w:rsidRDefault="00AB156F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1) </w:t>
      </w:r>
      <w:r>
        <w:rPr>
          <w:rStyle w:val="Hipercze"/>
          <w:color w:val="000000"/>
          <w:u w:val="none" w:color="000000"/>
        </w:rPr>
        <w:t>„Międzynarodowa mobilność edukacyjna uczniów i absolwentów oraz kadry kształcenia zawodowego” w Technikum nr 13;</w:t>
      </w:r>
    </w:p>
    <w:p w:rsidR="00A77B3E" w:rsidRDefault="00AB156F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2) </w:t>
      </w:r>
      <w:r>
        <w:rPr>
          <w:rStyle w:val="Hipercze"/>
          <w:color w:val="000000"/>
          <w:u w:val="none" w:color="000000"/>
        </w:rPr>
        <w:t>„Mobilność kluczem do sukcesu – wzmocnienie kompetencji z</w:t>
      </w:r>
      <w:r>
        <w:rPr>
          <w:rStyle w:val="Hipercze"/>
          <w:color w:val="000000"/>
          <w:u w:val="none" w:color="000000"/>
        </w:rPr>
        <w:t>awodowych uczniów Tarnogórskiej Sorbony” w Wieloprofilowym Zespole Szkół;</w:t>
      </w:r>
    </w:p>
    <w:p w:rsidR="00A77B3E" w:rsidRDefault="00AB156F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3) </w:t>
      </w:r>
      <w:r>
        <w:rPr>
          <w:rStyle w:val="Hipercze"/>
          <w:color w:val="000000"/>
          <w:u w:val="none" w:color="000000"/>
        </w:rPr>
        <w:t>„Zagraniczna mobilność początkiem drogi zawodowej” w Zespole Szkół Budowlano-Architektonicznych;</w:t>
      </w:r>
    </w:p>
    <w:p w:rsidR="00A77B3E" w:rsidRDefault="00AB156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zwiększenia części oświatowej subwencji ogólnej zgodnie z decyzją Ministra Fina</w:t>
      </w:r>
      <w:r>
        <w:rPr>
          <w:rStyle w:val="Hipercze"/>
          <w:color w:val="000000"/>
          <w:u w:val="none" w:color="000000"/>
        </w:rPr>
        <w:t>nsów z przeznaczeniem na podwyżki nauczycielskich pensji oraz pokrycie kosztów podwójnego naboru;</w:t>
      </w:r>
    </w:p>
    <w:p w:rsidR="00A77B3E" w:rsidRDefault="00AB156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 xml:space="preserve">zwiększenia udziału Powiatu w podatku dochodowym od osób fizycznych z przeznaczeniem na dotacje dla niepublicznych placówek oświatowych. Warto zaznaczyć, </w:t>
      </w:r>
      <w:r>
        <w:rPr>
          <w:rStyle w:val="Hipercze"/>
          <w:color w:val="000000"/>
          <w:u w:val="none" w:color="000000"/>
        </w:rPr>
        <w:t>iż przyjęte do budżetu łączne planowane dochody z tytułu udziałów w podatku dochodowym od osób fizycznych kształtują się nadal na poziomie poniżej wskaźnika ministerialnego otrzymanego w lutym bieżącego roku;</w:t>
      </w:r>
    </w:p>
    <w:p w:rsidR="00A77B3E" w:rsidRDefault="00AB156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6. </w:t>
      </w:r>
      <w:r>
        <w:rPr>
          <w:rStyle w:val="Hipercze"/>
          <w:color w:val="000000"/>
          <w:u w:val="none" w:color="000000"/>
        </w:rPr>
        <w:t>zwiększenia dotacji od Wojewody na realizacj</w:t>
      </w:r>
      <w:r>
        <w:rPr>
          <w:rStyle w:val="Hipercze"/>
          <w:color w:val="000000"/>
          <w:u w:val="none" w:color="000000"/>
        </w:rPr>
        <w:t>ę zadań zleconych w gospodarce nieruchomościami (w tym na obsługę administracyjną), pomocy społecznej oraz oświacie na zakup podręczników i materiałów ćwiczeniowych;</w:t>
      </w:r>
    </w:p>
    <w:p w:rsidR="00A77B3E" w:rsidRDefault="00AB156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7. </w:t>
      </w:r>
      <w:r>
        <w:rPr>
          <w:rStyle w:val="Hipercze"/>
          <w:color w:val="000000"/>
          <w:u w:val="none" w:color="000000"/>
        </w:rPr>
        <w:t>wprowadzenia do budżetu środków z Krajowego Funduszu Szkoleniowego na studia podyplomow</w:t>
      </w:r>
      <w:r>
        <w:rPr>
          <w:rStyle w:val="Hipercze"/>
          <w:color w:val="000000"/>
          <w:u w:val="none" w:color="000000"/>
        </w:rPr>
        <w:t>e oraz szkolenia pracowników Starostwa;</w:t>
      </w:r>
    </w:p>
    <w:p w:rsidR="00A77B3E" w:rsidRDefault="00AB156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8. </w:t>
      </w:r>
      <w:r>
        <w:rPr>
          <w:rStyle w:val="Hipercze"/>
          <w:color w:val="000000"/>
          <w:u w:val="none" w:color="000000"/>
        </w:rPr>
        <w:t>korekt środków otrzymanych z Funduszu Pracy na: bieżące wypłaty wynagrodzeń pracowników Powiatowego Urzędu Pracy oraz nagrody za skuteczną walkę z problemem bezrobocia na terenie Powiatu;</w:t>
      </w:r>
    </w:p>
    <w:p w:rsidR="00A77B3E" w:rsidRDefault="00AB156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9. </w:t>
      </w:r>
      <w:r>
        <w:rPr>
          <w:rStyle w:val="Hipercze"/>
          <w:color w:val="000000"/>
          <w:u w:val="none" w:color="000000"/>
        </w:rPr>
        <w:t>zwiększeń w planach St</w:t>
      </w:r>
      <w:r>
        <w:rPr>
          <w:rStyle w:val="Hipercze"/>
          <w:color w:val="000000"/>
          <w:u w:val="none" w:color="000000"/>
        </w:rPr>
        <w:t>arostwa Powiatowego oraz jednostek oświatowych i pomocy społecznej z tytułu ponadplanowo wygenerowanych dochodów.</w:t>
      </w:r>
    </w:p>
    <w:p w:rsidR="00A77B3E" w:rsidRDefault="00AB156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t>Zmiany w grupie wydatków wynikały z jednej strony z korekty planu dochodów budżetu. Z drugiej zaś strony miały charakter porządkujący, związan</w:t>
      </w:r>
      <w:r>
        <w:rPr>
          <w:rStyle w:val="Hipercze"/>
          <w:color w:val="000000"/>
          <w:u w:val="none" w:color="000000"/>
        </w:rPr>
        <w:t>y z dostosowaniem planu do zachodzących, nieprzewidzianych zdarzeń gospodarczych. Warto w tym miejscu podkreślić, iż prawdopodobnie w całości, zabezpieczony został plan wydatków dla niepublicznych placówek systemu oświaty. Dokonano tego w rezultacie przesu</w:t>
      </w:r>
      <w:r>
        <w:rPr>
          <w:rStyle w:val="Hipercze"/>
          <w:color w:val="000000"/>
          <w:u w:val="none" w:color="000000"/>
        </w:rPr>
        <w:t>nięć w ramach planu wydatków Wydziału Edukacji oraz dzięki zaangażowaniu dodatkowych dochodów z udziałów w PIT. Ewentualne doszacowania planu z tego tytułu, o ile wystąpią, nie powinny być już znaczące wartościowo. Wynikać będą ze zwiększonej liczby ucznió</w:t>
      </w:r>
      <w:r>
        <w:rPr>
          <w:rStyle w:val="Hipercze"/>
          <w:color w:val="000000"/>
          <w:u w:val="none" w:color="000000"/>
        </w:rPr>
        <w:t>w przyjętych do szkół niepublicznych.</w:t>
      </w:r>
    </w:p>
    <w:p w:rsidR="00A77B3E" w:rsidRDefault="00AB156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analizowanym okresie nie uległa zmianie wartość rozchodów roku obecnego i w dalszych latach prognozy finansowej.</w:t>
      </w:r>
    </w:p>
    <w:p w:rsidR="00A77B3E" w:rsidRDefault="00AB156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Wartości podstawowych kategorii budżetowych w latach następnych uwzględniają dane z przygotowywanego ob</w:t>
      </w:r>
      <w:r>
        <w:rPr>
          <w:rStyle w:val="Hipercze"/>
          <w:color w:val="000000"/>
          <w:u w:val="none" w:color="000000"/>
        </w:rPr>
        <w:t>ecnie projektu budżetu na rok 2020. Jeśli chodzi o dochody i wydatki to są one wyższe niż we wrześniowej wersji prognozy. Wynika to z danych otrzymanych z Ministerstwa Finansów, co do wartości udziałów w podatku PIT oraz wysokości części oświatowej i równo</w:t>
      </w:r>
      <w:r>
        <w:rPr>
          <w:rStyle w:val="Hipercze"/>
          <w:color w:val="000000"/>
          <w:u w:val="none" w:color="000000"/>
        </w:rPr>
        <w:t>ważącej subwencji ogólnej. Wyższe kwoty dochodów bieżących rozdysponowane zostały, zarówno do sfinansowania wydatków bieżących, jak też wydatków majątkowych. Pozytywnie wpłynęło to na kształtowanie się wskaźników z art. 242 i 243 ustawy o finansach publicz</w:t>
      </w:r>
      <w:r>
        <w:rPr>
          <w:rStyle w:val="Hipercze"/>
          <w:color w:val="000000"/>
          <w:u w:val="none" w:color="000000"/>
        </w:rPr>
        <w:t>nych, które to wskaźniki do końca bieżącego roku liczone są jeszcze w oparciu o dotychczas obowiązujące przepisy. Od roku 2020 wieloletnia prognoza finansowa sporządzana będzie już na innym wzorze. Inna będzie również metodologia obliczania wyżej wymienion</w:t>
      </w:r>
      <w:r>
        <w:rPr>
          <w:rStyle w:val="Hipercze"/>
          <w:color w:val="000000"/>
          <w:u w:val="none" w:color="000000"/>
        </w:rPr>
        <w:t>ych ustawowych wskaźników. Zasadniczo większego znaczenia nabiorą składowe bieżące dochodów i wydatków. Należy jednak zaznaczyć, iż podane dla przyszłych lat prognozy wartości nie są jeszcze ostateczne. Nadal nie posiadamy informacji od Wojewody o wysokośc</w:t>
      </w:r>
      <w:r>
        <w:rPr>
          <w:rStyle w:val="Hipercze"/>
          <w:color w:val="000000"/>
          <w:u w:val="none" w:color="000000"/>
        </w:rPr>
        <w:t>i przyznanych dotacji celowych. Ponadto pewne zadania i parametry budżetowe są nadal kwestią prowadzonych na bieżąco uzgodnień.</w:t>
      </w:r>
    </w:p>
    <w:p w:rsidR="00A77B3E" w:rsidRDefault="00AB156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Wprowadzone zmiany spowodowały dla roku 2019 minimalną poprawę wskaźnika z art. 242 ustawy o finansach publicznych. Wynikało to </w:t>
      </w:r>
      <w:r>
        <w:rPr>
          <w:rStyle w:val="Hipercze"/>
          <w:color w:val="000000"/>
          <w:u w:val="none" w:color="000000"/>
        </w:rPr>
        <w:t>z przeniesień środków z planu wydatków bieżących na majątkowe. Także w latach przyszłych relacja ta jest spełniona, podobnie zresztą jak wskaźnik z art. 243, ze stosunkowo bezpieczną nadwyżką.</w:t>
      </w:r>
    </w:p>
    <w:p w:rsidR="00A77B3E" w:rsidRDefault="00AB156F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stanowiącym załącznik nr 2 zaszły nastę</w:t>
      </w:r>
      <w:r>
        <w:rPr>
          <w:rStyle w:val="Hipercze"/>
          <w:color w:val="000000"/>
          <w:u w:val="none" w:color="000000"/>
        </w:rPr>
        <w:t>pujące zmiany:</w:t>
      </w:r>
    </w:p>
    <w:p w:rsidR="00A77B3E" w:rsidRDefault="00AB156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wprowadzono zadanie dofinansowane środkami strukturalnymi pn. „Mobilność kluczem do sukcesu – wzmocnienie kompetencji zawodowych uczniów Tarnogórskiej Sorbony” przewidziane do realizacji przez Wieloprofilowy Zespół Szkół w Tarnowskich Gór</w:t>
      </w:r>
      <w:r>
        <w:rPr>
          <w:rStyle w:val="Hipercze"/>
          <w:color w:val="000000"/>
          <w:u w:val="none" w:color="000000"/>
        </w:rPr>
        <w:t>ach w latach 2019-2021 w łącznej kwocie 320 843,00 zł. Celem projektu jest umożliwienie młodzieży zdobycia doświadczenia w zakresie praktyk panujących w krajach wymiany;</w:t>
      </w:r>
    </w:p>
    <w:p w:rsidR="00A77B3E" w:rsidRDefault="00AB156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wprowadzono zadanie dofinansowane środkami strukturalnymi pn. „Zagraniczna mobilnoś</w:t>
      </w:r>
      <w:r>
        <w:rPr>
          <w:rStyle w:val="Hipercze"/>
          <w:color w:val="000000"/>
          <w:u w:val="none" w:color="000000"/>
        </w:rPr>
        <w:t>ć początkiem drogi zawodowej” przewidziane do realizacji przez Zespół Szkół Budowlano-Architektonicznych w Tarnowskich Górach w latach 2019-2020 w łącznej kwocie 225 557,00 zł. Celem projektu jest umożliwienie młodzieży zdobycia doświadczenia w zakresie pr</w:t>
      </w:r>
      <w:r>
        <w:rPr>
          <w:rStyle w:val="Hipercze"/>
          <w:color w:val="000000"/>
          <w:u w:val="none" w:color="000000"/>
        </w:rPr>
        <w:t>aktyk panujących w krajach wymiany;</w:t>
      </w:r>
    </w:p>
    <w:p w:rsidR="00A77B3E" w:rsidRDefault="00AB156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wprowadzono zadanie dofinansowane środkami strukturalnymi pn. „Międzynarodowa mobilność edukacyjna uczniów i absolwentów oraz kadry kształcenia zawodowego” przewidziane do realizacji przez Technikum nr 13 w Radzionkow</w:t>
      </w:r>
      <w:r>
        <w:rPr>
          <w:rStyle w:val="Hipercze"/>
          <w:color w:val="000000"/>
          <w:u w:val="none" w:color="000000"/>
        </w:rPr>
        <w:t>ie w latach 2019-2021 w łącznej kwocie 501 901,00 zł. Celem projektu jest umożliwienie młodzieży zdobycia doświadczenia w zakresie praktyk panujących w krajach wymiany;</w:t>
      </w:r>
    </w:p>
    <w:p w:rsidR="00A77B3E" w:rsidRDefault="00AB156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wprowadzono zadanie pod nazwą „Przebudowa pomieszczeń sanitarnych w Zespole Szkół Te</w:t>
      </w:r>
      <w:r>
        <w:rPr>
          <w:rStyle w:val="Hipercze"/>
          <w:color w:val="000000"/>
          <w:u w:val="none" w:color="000000"/>
        </w:rPr>
        <w:t>chnicznych i Ogólnokształcących w Tarnowskich Górach” przewidziane do realizacji przez Wydział Inwestycji i Drogownictwa w latach 2019-2020 w łącznej kwocie 302 000,00 zł. Celem inwestycji jest poprawa warunków sanitarnych w budynku szkoły;</w:t>
      </w:r>
    </w:p>
    <w:p w:rsidR="00A77B3E" w:rsidRDefault="00AB156F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w związku z </w:t>
      </w:r>
      <w:r>
        <w:rPr>
          <w:rStyle w:val="Hipercze"/>
          <w:color w:val="000000"/>
          <w:u w:val="none" w:color="000000"/>
        </w:rPr>
        <w:t>przekształceniem dotychczasowego Zespołu Szkół Techniczno-Ekonomicznych w Radzionkowie w Technikum nr 13 zmieniono dysponenta dla niewydatkowanych dotychczas środków w wysokości 74 406,00 zł w ramach programu strukturalnego „Matura paszportem w przyszłość”</w:t>
      </w:r>
      <w:r>
        <w:rPr>
          <w:rStyle w:val="Hipercze"/>
          <w:color w:val="000000"/>
          <w:u w:val="none" w:color="000000"/>
        </w:rPr>
        <w:t>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56F" w:rsidRDefault="00AB156F">
      <w:r>
        <w:separator/>
      </w:r>
    </w:p>
  </w:endnote>
  <w:endnote w:type="continuationSeparator" w:id="0">
    <w:p w:rsidR="00AB156F" w:rsidRDefault="00AB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C063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C063D" w:rsidRDefault="00AB156F">
          <w:pPr>
            <w:jc w:val="left"/>
            <w:rPr>
              <w:sz w:val="18"/>
            </w:rPr>
          </w:pPr>
          <w:r>
            <w:rPr>
              <w:sz w:val="18"/>
            </w:rPr>
            <w:t>Id: D4DA9CAD-C310-40C5-8F04-3084E2C58FD0.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C063D" w:rsidRDefault="00AB15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A1219">
            <w:rPr>
              <w:sz w:val="18"/>
            </w:rPr>
            <w:fldChar w:fldCharType="separate"/>
          </w:r>
          <w:r w:rsidR="000A121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C063D" w:rsidRDefault="00CC063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C063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C063D" w:rsidRDefault="00AB156F">
          <w:pPr>
            <w:jc w:val="left"/>
            <w:rPr>
              <w:sz w:val="18"/>
            </w:rPr>
          </w:pPr>
          <w:r>
            <w:rPr>
              <w:sz w:val="18"/>
            </w:rPr>
            <w:t>Id: D4DA9CAD-C310-40C5-8F04-3084E2C58FD0.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C063D" w:rsidRDefault="00AB15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A1219">
            <w:rPr>
              <w:sz w:val="18"/>
            </w:rPr>
            <w:fldChar w:fldCharType="separate"/>
          </w:r>
          <w:r w:rsidR="000A121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C063D" w:rsidRDefault="00CC063D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C063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C063D" w:rsidRDefault="00AB156F">
          <w:pPr>
            <w:jc w:val="left"/>
            <w:rPr>
              <w:sz w:val="18"/>
            </w:rPr>
          </w:pPr>
          <w:r>
            <w:rPr>
              <w:sz w:val="18"/>
            </w:rPr>
            <w:t>Id: D4DA9CAD-C310-40C5-8F04-3084E2C58FD0.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C063D" w:rsidRDefault="00AB15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A1219">
            <w:rPr>
              <w:sz w:val="18"/>
            </w:rPr>
            <w:fldChar w:fldCharType="separate"/>
          </w:r>
          <w:r w:rsidR="000A121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C063D" w:rsidRDefault="00CC063D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C063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C063D" w:rsidRDefault="00AB156F">
          <w:pPr>
            <w:jc w:val="left"/>
            <w:rPr>
              <w:sz w:val="18"/>
            </w:rPr>
          </w:pPr>
          <w:r>
            <w:rPr>
              <w:sz w:val="18"/>
            </w:rPr>
            <w:t>Id: D4DA9CAD-C310-40C5-8F04-3084E2C58FD0.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C063D" w:rsidRDefault="00AB15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A1219">
            <w:rPr>
              <w:sz w:val="18"/>
            </w:rPr>
            <w:fldChar w:fldCharType="separate"/>
          </w:r>
          <w:r w:rsidR="000A121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C063D" w:rsidRDefault="00CC063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56F" w:rsidRDefault="00AB156F">
      <w:r>
        <w:separator/>
      </w:r>
    </w:p>
  </w:footnote>
  <w:footnote w:type="continuationSeparator" w:id="0">
    <w:p w:rsidR="00AB156F" w:rsidRDefault="00AB156F">
      <w:r>
        <w:continuationSeparator/>
      </w:r>
    </w:p>
  </w:footnote>
  <w:footnote w:id="1">
    <w:p w:rsidR="00CC063D" w:rsidRDefault="00AB156F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poz.2245</w:t>
      </w:r>
    </w:p>
  </w:footnote>
  <w:footnote w:id="2">
    <w:p w:rsidR="00CC063D" w:rsidRDefault="00AB156F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2019r. poz.1903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3D"/>
    <w:rsid w:val="000A1219"/>
    <w:rsid w:val="00AB156F"/>
    <w:rsid w:val="00CC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93132E-2F6A-4A83-B180-3C2709E9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314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8093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XIII/146/2019 z dnia 29 października 2019 r.</vt:lpstr>
      <vt:lpstr/>
    </vt:vector>
  </TitlesOfParts>
  <Company>Rada Powiatu Tarnogórskiego</Company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XIII/146/2019 z dnia 29 października 2019 r.</dc:title>
  <dc:subject>w sprawie zmiany Wieloletniej Prognozy Finansowej Powiatu Tarnogórskiego na lata 2019-2028</dc:subject>
  <dc:creator>nr367</dc:creator>
  <cp:lastModifiedBy>nr314</cp:lastModifiedBy>
  <cp:revision>2</cp:revision>
  <dcterms:created xsi:type="dcterms:W3CDTF">2019-12-04T11:19:00Z</dcterms:created>
  <dcterms:modified xsi:type="dcterms:W3CDTF">2019-12-04T11:19:00Z</dcterms:modified>
  <cp:category>Akt prawny</cp:category>
</cp:coreProperties>
</file>