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3.0.0 -->
  <w:body>
    <w:p w:rsidR="00A77B3E">
      <w:pPr>
        <w:ind w:left="0"/>
        <w:jc w:val="center"/>
        <w:rPr>
          <w:rFonts w:ascii="Times New Roman" w:eastAsia="Times New Roman" w:hAnsi="Times New Roman" w:cs="Times New Roman"/>
          <w:b/>
          <w:caps/>
          <w:sz w:val="22"/>
        </w:rPr>
      </w:pPr>
      <w:r>
        <w:rPr>
          <w:rFonts w:ascii="Times New Roman" w:eastAsia="Times New Roman" w:hAnsi="Times New Roman" w:cs="Times New Roman"/>
          <w:b/>
          <w:caps/>
          <w:sz w:val="22"/>
        </w:rPr>
        <w:t>Uchwała</w:t>
      </w:r>
      <w:r>
        <w:rPr>
          <w:rFonts w:ascii="Times New Roman" w:eastAsia="Times New Roman" w:hAnsi="Times New Roman" w:cs="Times New Roman"/>
          <w:b/>
          <w:caps/>
          <w:sz w:val="22"/>
        </w:rPr>
        <w:t xml:space="preserve"> Nr XIII/146/2019</w:t>
      </w:r>
      <w:r>
        <w:rPr>
          <w:rFonts w:ascii="Times New Roman" w:eastAsia="Times New Roman" w:hAnsi="Times New Roman" w:cs="Times New Roman"/>
          <w:b/>
          <w:caps/>
          <w:sz w:val="22"/>
        </w:rPr>
        <w:br/>
      </w:r>
      <w:r>
        <w:rPr>
          <w:rFonts w:ascii="Times New Roman" w:eastAsia="Times New Roman" w:hAnsi="Times New Roman" w:cs="Times New Roman"/>
          <w:b/>
          <w:caps/>
          <w:sz w:val="22"/>
        </w:rPr>
        <w:t>Rady Powiatu Tarnogórskiego</w:t>
      </w:r>
    </w:p>
    <w:p w:rsidR="00A77B3E">
      <w:pPr>
        <w:spacing w:before="280" w:after="280"/>
        <w:ind w:left="0"/>
        <w:jc w:val="center"/>
        <w:rPr>
          <w:rFonts w:ascii="Times New Roman" w:eastAsia="Times New Roman" w:hAnsi="Times New Roman" w:cs="Times New Roman"/>
          <w:b/>
          <w:caps/>
          <w:sz w:val="22"/>
        </w:rPr>
      </w:pPr>
      <w:r>
        <w:rPr>
          <w:rFonts w:ascii="Times New Roman" w:eastAsia="Times New Roman" w:hAnsi="Times New Roman" w:cs="Times New Roman"/>
          <w:b w:val="0"/>
          <w:caps w:val="0"/>
          <w:sz w:val="22"/>
        </w:rPr>
        <w:t>z dnia 29 października 2019 r.</w:t>
      </w:r>
    </w:p>
    <w:p w:rsidR="00A77B3E">
      <w:pPr>
        <w:keepNext/>
        <w:spacing w:before="0" w:after="480" w:line="240" w:lineRule="auto"/>
        <w:ind w:left="0" w:right="0" w:firstLine="0"/>
        <w:jc w:val="center"/>
        <w:rPr>
          <w:rFonts w:ascii="Times New Roman" w:eastAsia="Times New Roman" w:hAnsi="Times New Roman" w:cs="Times New Roman"/>
          <w:b w:val="0"/>
          <w:caps w:val="0"/>
          <w:strike w:val="0"/>
          <w:color w:val="auto"/>
          <w:sz w:val="22"/>
          <w:u w:val="none"/>
        </w:rPr>
      </w:pPr>
      <w:r>
        <w:rPr>
          <w:rFonts w:ascii="Times New Roman" w:eastAsia="Times New Roman" w:hAnsi="Times New Roman" w:cs="Times New Roman"/>
          <w:b/>
          <w:caps w:val="0"/>
          <w:sz w:val="22"/>
        </w:rPr>
        <w:t>w sprawie zmiany Wieloletniej Prognozy Finansowej Powiatu Tarnogórskiego na lata 2019-2028</w:t>
      </w:r>
    </w:p>
    <w:p w:rsidR="00A77B3E">
      <w:pPr>
        <w:keepNext w:val="0"/>
        <w:keepLines/>
        <w:spacing w:before="120" w:after="120" w:line="240" w:lineRule="auto"/>
        <w:ind w:left="0"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auto"/>
          <w:sz w:val="22"/>
          <w:u w:val="none"/>
          <w:vertAlign w:val="baseline"/>
        </w:rPr>
        <w:t>Na podstawie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226,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227,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228,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229,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230,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231, art. 232,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242</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i</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243</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ustawy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dnia 27</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sierpnia 2009</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roku o</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finansach publicznych (tekst jednolity: Dz.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2019r. poz.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869 z późn. zm.</w:t>
      </w:r>
      <w:r>
        <w:rPr>
          <w:rStyle w:val="FootnoteReference"/>
        </w:rPr>
        <w:footnoteReference w:id="0"/>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 oraz Rozporządzenia Ministra Finansów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stycznia 2013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sprawie wieloletniej prognozy finansowej jednostki samorządu terytorialnego (tekst jednolity: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2015r.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92 z późn. zm.</w:t>
      </w:r>
      <w:r>
        <w:rPr>
          <w:rStyle w:val="FootnoteReference"/>
        </w:rPr>
        <w:footnoteReference w:id="1"/>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Rada Powiatu</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uchwala: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 </w:t>
      </w:r>
      <w:r>
        <w:rPr>
          <w:rFonts w:ascii="Times New Roman" w:eastAsia="Times New Roman" w:hAnsi="Times New Roman" w:cs="Times New Roman"/>
          <w:b w:val="0"/>
          <w:i w:val="0"/>
          <w:caps w:val="0"/>
          <w:strike w:val="0"/>
          <w:color w:val="000000"/>
          <w:sz w:val="22"/>
          <w:u w:val="none" w:color="000000"/>
          <w:vertAlign w:val="baseline"/>
        </w:rPr>
        <w:t>Załącznik nr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 nr II/33/2018 Rady Powiatu Tarnogórskiego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grudnia 2018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sprawie Wieloletniej Prognozy Finansowej Powiatu Tarnogórskiego na lata 2019-2028 otrzymuje brzmienie według załącznika nr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niniejszej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2. </w:t>
      </w:r>
      <w:r>
        <w:rPr>
          <w:rFonts w:ascii="Times New Roman" w:eastAsia="Times New Roman" w:hAnsi="Times New Roman" w:cs="Times New Roman"/>
          <w:b w:val="0"/>
          <w:i w:val="0"/>
          <w:caps w:val="0"/>
          <w:strike w:val="0"/>
          <w:color w:val="000000"/>
          <w:sz w:val="22"/>
          <w:u w:val="none" w:color="000000"/>
          <w:vertAlign w:val="baseline"/>
        </w:rPr>
        <w:t>Załącznik nr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 nr II/33/2018 Rady Powiatu Tarnogórskiego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grudnia 2018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sprawie Wieloletniej Prognozy Finansowej Powiatu Tarnogórskiego na lata 2019-2028 otrzymuje brzmienie według załącznika nr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niniejszej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3. </w:t>
      </w:r>
      <w:r>
        <w:rPr>
          <w:rFonts w:ascii="Times New Roman" w:eastAsia="Times New Roman" w:hAnsi="Times New Roman" w:cs="Times New Roman"/>
          <w:b w:val="0"/>
          <w:i w:val="0"/>
          <w:caps w:val="0"/>
          <w:strike w:val="0"/>
          <w:color w:val="000000"/>
          <w:sz w:val="22"/>
          <w:u w:val="none" w:color="000000"/>
          <w:vertAlign w:val="baseline"/>
        </w:rPr>
        <w:t>Uchwala się objaśnienia wartości Wieloletniej Prognozy Finansowej Powiatu Tarnogórskiego na lata 2019-2028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związku ze zmianami dokonanymi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budżecie Powiatu Tarnogórskiego.</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4. </w:t>
      </w:r>
      <w:r>
        <w:rPr>
          <w:rFonts w:ascii="Times New Roman" w:eastAsia="Times New Roman" w:hAnsi="Times New Roman" w:cs="Times New Roman"/>
          <w:b w:val="0"/>
          <w:i w:val="0"/>
          <w:caps w:val="0"/>
          <w:strike w:val="0"/>
          <w:color w:val="000000"/>
          <w:sz w:val="22"/>
          <w:u w:val="none" w:color="000000"/>
          <w:vertAlign w:val="baseline"/>
        </w:rPr>
        <w:t>Wykonanie uchwały powierza się Zarządowi Powiatu Tarnogórskiego.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5. </w:t>
      </w:r>
      <w:r>
        <w:rPr>
          <w:rFonts w:ascii="Times New Roman" w:eastAsia="Times New Roman" w:hAnsi="Times New Roman" w:cs="Times New Roman"/>
          <w:b w:val="0"/>
          <w:i w:val="0"/>
          <w:caps w:val="0"/>
          <w:strike w:val="0"/>
          <w:color w:val="000000"/>
          <w:sz w:val="22"/>
          <w:u w:val="none" w:color="000000"/>
          <w:vertAlign w:val="baseline"/>
        </w:rPr>
        <w:t>Uchwała wchodzi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życie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dniem podjęcia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podlega ogłoszeniu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sposób zwyczajowo przyjęty.</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p>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pPr>
      <w:r>
        <w:rPr>
          <w:b w:val="0"/>
          <w:i w:val="0"/>
          <w:color w:val="000000"/>
          <w:u w:val="none"/>
          <w:vertAlign w:val="baseline"/>
        </w:rPr>
        <w:t> </w:t>
      </w:r>
    </w:p>
    <w:tbl>
      <w:tblPr>
        <w:tblW w:w="5000" w:type="pct"/>
        <w:tblCellMar>
          <w:top w:w="0" w:type="dxa"/>
          <w:left w:w="0" w:type="dxa"/>
          <w:bottom w:w="0" w:type="dxa"/>
          <w:right w:w="0" w:type="dxa"/>
        </w:tblCellMar>
      </w:tblPr>
      <w:tblGrid>
        <w:gridCol w:w="5103"/>
        <w:gridCol w:w="5103"/>
      </w:tblGrid>
      <w:tr>
        <w:tblPrEx>
          <w:tblW w:w="5000" w:type="pct"/>
          <w:tblCellMar>
            <w:top w:w="0" w:type="dxa"/>
            <w:left w:w="0" w:type="dxa"/>
            <w:bottom w:w="0" w:type="dxa"/>
            <w:right w:w="0" w:type="dxa"/>
          </w:tblCellMar>
        </w:tblPrEx>
        <w:tc>
          <w:tcPr>
            <w:tcW w:w="2500" w:type="pct"/>
            <w:noWrap w:val="0"/>
            <w:tcMar>
              <w:top w:w="0" w:type="dxa"/>
              <w:left w:w="0" w:type="dxa"/>
              <w:bottom w:w="0" w:type="dxa"/>
              <w:right w:w="0" w:type="dxa"/>
            </w:tcMar>
            <w:vAlign w:val="top"/>
          </w:tcPr>
          <w:p>
            <w:pPr>
              <w:keepNext/>
              <w:keepLines/>
              <w:jc w:val="left"/>
              <w:rPr>
                <w:rFonts w:ascii="Times New Roman" w:eastAsia="Times New Roman" w:hAnsi="Times New Roman" w:cs="Times New Roman"/>
                <w:b w:val="0"/>
                <w:bCs w:val="0"/>
                <w:i w:val="0"/>
                <w:iCs w:val="0"/>
                <w:smallCaps w:val="0"/>
                <w:color w:val="000000"/>
                <w:sz w:val="22"/>
                <w:szCs w:val="22"/>
              </w:rPr>
            </w:pPr>
          </w:p>
        </w:tc>
        <w:tc>
          <w:tcPr>
            <w:tcW w:w="2500" w:type="pct"/>
            <w:noWrap w:val="0"/>
            <w:tcMar>
              <w:top w:w="0" w:type="dxa"/>
              <w:left w:w="0" w:type="dxa"/>
              <w:bottom w:w="0" w:type="dxa"/>
              <w:right w:w="0" w:type="dxa"/>
            </w:tcMar>
            <w:vAlign w:val="top"/>
          </w:tcPr>
          <w:p>
            <w:pPr>
              <w:keepNext/>
              <w:keepLines/>
              <w:spacing w:before="560" w:after="560"/>
              <w:ind w:left="1134" w:right="1134" w:firstLine="0"/>
              <w:jc w:val="center"/>
              <w:rPr>
                <w:rFonts w:ascii="Times New Roman" w:eastAsia="Times New Roman" w:hAnsi="Times New Roman" w:cs="Times New Roman"/>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Przewodniczący Rady Powiatu</w:t>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b/>
                <w:i w:val="0"/>
              </w:rPr>
              <w:t>Przemysław Cichosz</w:t>
            </w:r>
          </w:p>
        </w:tc>
      </w:tr>
    </w:tbl>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5"/>
          <w:endnotePr>
            <w:numFmt w:val="decimal"/>
          </w:endnotePr>
          <w:pgSz w:w="11906" w:h="16838"/>
          <w:pgMar w:top="850" w:right="850" w:bottom="1417" w:left="850" w:header="708" w:footer="708" w:gutter="0"/>
          <w:cols w:space="708"/>
          <w:docGrid w:linePitch="360"/>
        </w:sectPr>
      </w:pPr>
    </w:p>
    <w:p w:rsidR="00A77B3E">
      <w:pPr>
        <w:keepNext/>
        <w:spacing w:before="280" w:after="280" w:line="360" w:lineRule="auto"/>
        <w:ind w:left="4535" w:right="0" w:firstLine="0"/>
        <w:jc w:val="left"/>
        <w:rPr>
          <w:rStyle w:val="Hyperlink"/>
          <w:rFonts w:ascii="Times New Roman" w:eastAsia="Times New Roman" w:hAnsi="Times New Roman" w:cs="Times New Roman"/>
          <w:b w:val="0"/>
          <w:i w:val="0"/>
          <w:caps w:val="0"/>
          <w:strike w:val="0"/>
          <w:color w:val="000000"/>
          <w:sz w:val="22"/>
          <w:u w:val="none" w:color="000000"/>
          <w:vertAlign w:val="baseline"/>
        </w:rPr>
        <w:sectPr>
          <w:footerReference w:type="default" r:id="rId6"/>
          <w:endnotePr>
            <w:numFmt w:val="decimal"/>
          </w:endnotePr>
          <w:type w:val="nextPage"/>
          <w:pgSz w:w="11906" w:h="16838"/>
          <w:pgMar w:top="850" w:right="850" w:bottom="1417" w:left="850" w:header="708" w:footer="708" w:gutter="0"/>
          <w:pgNumType w:start="1"/>
          <w:cols w:space="708"/>
          <w:docGrid w:linePitch="360"/>
        </w:sect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t>Załącznik Nr 1 do uchwały</w:t>
      </w:r>
      <w:r>
        <w:rPr>
          <w:rFonts w:ascii="Times New Roman" w:eastAsia="Times New Roman" w:hAnsi="Times New Roman" w:cs="Times New Roman"/>
          <w:b w:val="0"/>
          <w:i w:val="0"/>
          <w:caps w:val="0"/>
          <w:strike w:val="0"/>
          <w:color w:val="000000"/>
          <w:sz w:val="22"/>
          <w:u w:val="none" w:color="000000"/>
          <w:vertAlign w:val="baseline"/>
        </w:rPr>
        <w:t xml:space="preserve"> Nr XIII/146/2019</w:t>
      </w:r>
      <w:r>
        <w:rPr>
          <w:rFonts w:ascii="Times New Roman" w:eastAsia="Times New Roman" w:hAnsi="Times New Roman" w:cs="Times New Roman"/>
          <w:b w:val="0"/>
          <w:i w:val="0"/>
          <w:caps w:val="0"/>
          <w:strike w:val="0"/>
          <w:color w:val="000000"/>
          <w:sz w:val="22"/>
          <w:u w:val="none" w:color="000000"/>
          <w:vertAlign w:val="baseline"/>
        </w:rPr>
        <w:br/>
      </w:r>
      <w: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sz w:val="22"/>
        </w:rPr>
        <w:t>z dnia 29 października 2019 r.</w:t>
      </w:r>
      <w:r>
        <w:rPr>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instrText xml:space="preserve"> HYPERLINK "Zalacznik1.pdf" </w:instrText>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t>Zalacznik1.pdf</w:t>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p>
    <w:p w:rsidR="00A77B3E">
      <w:pPr>
        <w:keepNext/>
        <w:spacing w:before="280" w:after="280" w:line="360" w:lineRule="auto"/>
        <w:ind w:left="4535" w:right="0" w:firstLine="0"/>
        <w:jc w:val="left"/>
        <w:rPr>
          <w:rStyle w:val="Hyperlink"/>
          <w:rFonts w:ascii="Times New Roman" w:eastAsia="Times New Roman" w:hAnsi="Times New Roman" w:cs="Times New Roman"/>
          <w:b w:val="0"/>
          <w:i w:val="0"/>
          <w:caps w:val="0"/>
          <w:strike w:val="0"/>
          <w:color w:val="000000"/>
          <w:sz w:val="22"/>
          <w:u w:val="none" w:color="000000"/>
          <w:vertAlign w:val="baseline"/>
        </w:rPr>
        <w:sectPr>
          <w:footerReference w:type="default" r:id="rId7"/>
          <w:endnotePr>
            <w:numFmt w:val="decimal"/>
          </w:endnotePr>
          <w:type w:val="nextPage"/>
          <w:pgSz w:w="11906" w:h="16838"/>
          <w:pgMar w:top="850" w:right="850" w:bottom="1417" w:left="850" w:header="708" w:footer="708" w:gutter="0"/>
          <w:pgNumType w:start="1"/>
          <w:cols w:space="708"/>
          <w:docGrid w:linePitch="360"/>
        </w:sectPr>
      </w:pP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r>
        <w:t>Załącznik Nr 2 do uchwały</w:t>
      </w:r>
      <w:r>
        <w:rPr>
          <w:rStyle w:val="Hyperlink"/>
          <w:rFonts w:ascii="Times New Roman" w:eastAsia="Times New Roman" w:hAnsi="Times New Roman" w:cs="Times New Roman"/>
          <w:b w:val="0"/>
          <w:i w:val="0"/>
          <w:caps w:val="0"/>
          <w:strike w:val="0"/>
          <w:color w:val="000000"/>
          <w:sz w:val="22"/>
          <w:u w:val="none" w:color="000000"/>
          <w:vertAlign w:val="baseline"/>
        </w:rPr>
        <w:t xml:space="preserve"> Nr XIII/146/2019</w:t>
      </w:r>
      <w:r>
        <w:rPr>
          <w:rStyle w:val="Hyperlink"/>
          <w:rFonts w:ascii="Times New Roman" w:eastAsia="Times New Roman" w:hAnsi="Times New Roman" w:cs="Times New Roman"/>
          <w:b w:val="0"/>
          <w:i w:val="0"/>
          <w:caps w:val="0"/>
          <w:strike w:val="0"/>
          <w:color w:val="000000"/>
          <w:sz w:val="22"/>
          <w:u w:val="none" w:color="000000"/>
          <w:vertAlign w:val="baseline"/>
        </w:rPr>
        <w:br/>
      </w:r>
      <w:r>
        <w:t>Rady Powiatu Tarnogórskiego</w:t>
      </w:r>
      <w:r>
        <w:rPr>
          <w:rStyle w:val="Hyperlink"/>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sz w:val="22"/>
        </w:rPr>
        <w:t>z dnia 29 października 2019 r.</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instrText xml:space="preserve"> HYPERLINK "Zalacznik2.pdf" </w:instrText>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t>Zalacznik2.pdf</w:t>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p>
    <w:p w:rsidR="00A77B3E">
      <w:pPr>
        <w:keepNext/>
        <w:spacing w:before="120" w:after="120" w:line="360" w:lineRule="auto"/>
        <w:ind w:left="5498" w:right="0" w:firstLine="0"/>
        <w:jc w:val="lef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r>
        <w:rPr>
          <w:rStyle w:val="Hyperlink"/>
          <w:rFonts w:ascii="Times New Roman" w:eastAsia="Times New Roman" w:hAnsi="Times New Roman" w:cs="Times New Roman"/>
          <w:b w:val="0"/>
          <w:i w:val="0"/>
          <w:caps w:val="0"/>
          <w:strike w:val="0"/>
          <w:color w:val="000000"/>
          <w:sz w:val="22"/>
          <w:u w:val="none" w:color="000000"/>
          <w:vertAlign w:val="baseline"/>
        </w:rPr>
        <w:t>Załącznik nr</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3</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do uchwały nr XIII/146/2019</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Rady Powiatu Tarnogórskiego</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z dnia 29</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października 2019</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r.</w:t>
      </w:r>
    </w:p>
    <w:p w:rsidR="00A77B3E">
      <w:pPr>
        <w:keepNext/>
        <w:spacing w:before="0" w:after="480" w:line="240" w:lineRule="auto"/>
        <w:ind w:left="0" w:right="0" w:firstLine="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2"/>
          <w:u w:val="none" w:color="000000"/>
          <w:vertAlign w:val="baseline"/>
        </w:rPr>
        <w:t>Objaśnienia do zmian kategorii i</w:t>
      </w:r>
      <w:r>
        <w:rPr>
          <w:rStyle w:val="Hyperlink"/>
          <w:rFonts w:ascii="Times New Roman" w:eastAsia="Times New Roman" w:hAnsi="Times New Roman" w:cs="Times New Roman"/>
          <w:b/>
          <w:i w:val="0"/>
          <w:caps w:val="0"/>
          <w:strike w:val="0"/>
          <w:color w:val="000000"/>
          <w:sz w:val="22"/>
          <w:u w:val="none" w:color="000000"/>
          <w:vertAlign w:val="baseline"/>
        </w:rPr>
        <w:t> </w:t>
      </w:r>
      <w:r>
        <w:rPr>
          <w:rStyle w:val="Hyperlink"/>
          <w:rFonts w:ascii="Times New Roman" w:eastAsia="Times New Roman" w:hAnsi="Times New Roman" w:cs="Times New Roman"/>
          <w:b/>
          <w:i w:val="0"/>
          <w:caps w:val="0"/>
          <w:strike w:val="0"/>
          <w:color w:val="000000"/>
          <w:sz w:val="22"/>
          <w:u w:val="none" w:color="000000"/>
          <w:vertAlign w:val="baseline"/>
        </w:rPr>
        <w:t>wartości przyjętych w</w:t>
      </w:r>
      <w:r>
        <w:rPr>
          <w:rStyle w:val="Hyperlink"/>
          <w:rFonts w:ascii="Times New Roman" w:eastAsia="Times New Roman" w:hAnsi="Times New Roman" w:cs="Times New Roman"/>
          <w:b/>
          <w:i w:val="0"/>
          <w:caps w:val="0"/>
          <w:strike w:val="0"/>
          <w:color w:val="000000"/>
          <w:sz w:val="22"/>
          <w:u w:val="none" w:color="000000"/>
          <w:vertAlign w:val="baseline"/>
        </w:rPr>
        <w:t> </w:t>
      </w:r>
      <w:r>
        <w:rPr>
          <w:rStyle w:val="Hyperlink"/>
          <w:rFonts w:ascii="Times New Roman" w:eastAsia="Times New Roman" w:hAnsi="Times New Roman" w:cs="Times New Roman"/>
          <w:b/>
          <w:i w:val="0"/>
          <w:caps w:val="0"/>
          <w:strike w:val="0"/>
          <w:color w:val="000000"/>
          <w:sz w:val="22"/>
          <w:u w:val="none" w:color="000000"/>
          <w:vertAlign w:val="baseline"/>
        </w:rPr>
        <w:t>Wieloletniej Prognozie Finansowej Powiatu Tarnogórskiego na lata 2019</w:t>
      </w:r>
      <w:r>
        <w:rPr>
          <w:rStyle w:val="Hyperlink"/>
          <w:rFonts w:ascii="Times New Roman" w:eastAsia="Times New Roman" w:hAnsi="Times New Roman" w:cs="Times New Roman"/>
          <w:b/>
          <w:i w:val="0"/>
          <w:caps w:val="0"/>
          <w:strike w:val="0"/>
          <w:color w:val="000000"/>
          <w:sz w:val="22"/>
          <w:u w:val="none" w:color="000000"/>
          <w:vertAlign w:val="baseline"/>
        </w:rPr>
        <w:t> </w:t>
      </w:r>
      <w:r>
        <w:rPr>
          <w:rStyle w:val="Hyperlink"/>
          <w:rFonts w:ascii="Times New Roman" w:eastAsia="Times New Roman" w:hAnsi="Times New Roman" w:cs="Times New Roman"/>
          <w:b/>
          <w:i w:val="0"/>
          <w:caps w:val="0"/>
          <w:strike w:val="0"/>
          <w:color w:val="000000"/>
          <w:sz w:val="22"/>
          <w:u w:val="none" w:color="000000"/>
          <w:vertAlign w:val="baseline"/>
        </w:rPr>
        <w:t>– 2028</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Zmiany w prognozie i przedsięwzięciach wieloletnich są rezultatem zdarzeń gospodarczych mających miejsce w miesiącach wrześniu i październiku. Wpłynęły one na wartości podstawowych kategorii w roku bieżącym. Zmianom uległy również dane dotyczące lat przyszłych. W poniższej tabeli przedstawiono zmiany podstawowych kategorii dla roku 2019 pomiędzy obecną a poprzednią wieloletnią prognozą finansową.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48"/>
        <w:gridCol w:w="3004"/>
        <w:gridCol w:w="2615"/>
        <w:gridCol w:w="2117"/>
        <w:gridCol w:w="1728"/>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hRule="auto" w:val="0"/>
        </w:trPr>
        <w:tc>
          <w:tcPr>
            <w:tcW w:w="7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rPr>
              <w:t>Lp.</w:t>
            </w:r>
          </w:p>
        </w:tc>
        <w:tc>
          <w:tcPr>
            <w:tcW w:w="2895" w:type="dxa"/>
            <w:tcBorders>
              <w:top w:val="single" w:sz="2" w:space="0" w:color="auto"/>
              <w:left w:val="nil"/>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rPr>
              <w:t>Tytuł pozycji</w:t>
            </w:r>
          </w:p>
        </w:tc>
        <w:tc>
          <w:tcPr>
            <w:tcW w:w="2520" w:type="dxa"/>
            <w:tcBorders>
              <w:top w:val="single" w:sz="2" w:space="0" w:color="auto"/>
              <w:left w:val="nil"/>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rPr>
              <w:t xml:space="preserve">Wartość WPF z dnia 24.09.2019r. </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rPr>
              <w:t>Wartość WPF z obecnej uchwały</w:t>
            </w:r>
          </w:p>
        </w:tc>
        <w:tc>
          <w:tcPr>
            <w:tcW w:w="1665" w:type="dxa"/>
            <w:tcBorders>
              <w:top w:val="single" w:sz="2" w:space="0" w:color="auto"/>
              <w:left w:val="nil"/>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rPr>
              <w:t>Różnica</w:t>
            </w:r>
          </w:p>
        </w:tc>
      </w:tr>
      <w:tr>
        <w:tblPrEx>
          <w:tblW w:w="5000" w:type="pct"/>
          <w:tblLayout w:type="fixed"/>
          <w:tblCellMar>
            <w:left w:w="108" w:type="dxa"/>
            <w:right w:w="108" w:type="dxa"/>
          </w:tblCellMar>
        </w:tblPrEx>
        <w:trPr>
          <w:trHeight w:hRule="auto" w:val="0"/>
        </w:trPr>
        <w:tc>
          <w:tcPr>
            <w:tcW w:w="720" w:type="dxa"/>
            <w:tcBorders>
              <w:top w:val="nil"/>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1</w:t>
            </w:r>
          </w:p>
        </w:tc>
        <w:tc>
          <w:tcPr>
            <w:tcW w:w="2895" w:type="dxa"/>
            <w:tcBorders>
              <w:top w:val="nil"/>
              <w:left w:val="nil"/>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t>Ogółem dochody</w:t>
            </w:r>
          </w:p>
        </w:tc>
        <w:tc>
          <w:tcPr>
            <w:tcW w:w="2520" w:type="dxa"/>
            <w:tcBorders>
              <w:top w:val="single" w:sz="2" w:space="0" w:color="auto"/>
              <w:left w:val="nil"/>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180</w:t>
            </w:r>
            <w:r>
              <w:t> </w:t>
            </w:r>
            <w:r>
              <w:t>060</w:t>
            </w:r>
            <w:r>
              <w:t> </w:t>
            </w:r>
            <w:r>
              <w:t>383,77</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179</w:t>
            </w:r>
            <w:r>
              <w:t> </w:t>
            </w:r>
            <w:r>
              <w:t>458</w:t>
            </w:r>
            <w:r>
              <w:t> </w:t>
            </w:r>
            <w:r>
              <w:t>006,44</w:t>
            </w:r>
          </w:p>
        </w:tc>
        <w:tc>
          <w:tcPr>
            <w:tcW w:w="1665" w:type="dxa"/>
            <w:tcBorders>
              <w:top w:val="nil"/>
              <w:left w:val="nil"/>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-602</w:t>
            </w:r>
            <w:r>
              <w:t> </w:t>
            </w:r>
            <w:r>
              <w:t>377,33</w:t>
            </w:r>
          </w:p>
        </w:tc>
      </w:tr>
      <w:tr>
        <w:tblPrEx>
          <w:tblW w:w="5000" w:type="pct"/>
          <w:tblLayout w:type="fixed"/>
          <w:tblCellMar>
            <w:left w:w="108" w:type="dxa"/>
            <w:right w:w="108" w:type="dxa"/>
          </w:tblCellMar>
        </w:tblPrEx>
        <w:trPr>
          <w:trHeight w:hRule="auto" w:val="0"/>
        </w:trPr>
        <w:tc>
          <w:tcPr>
            <w:tcW w:w="720" w:type="dxa"/>
            <w:tcBorders>
              <w:top w:val="nil"/>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2</w:t>
            </w:r>
          </w:p>
        </w:tc>
        <w:tc>
          <w:tcPr>
            <w:tcW w:w="2895" w:type="dxa"/>
            <w:tcBorders>
              <w:top w:val="nil"/>
              <w:left w:val="nil"/>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t>Ogółem wydatki</w:t>
            </w:r>
          </w:p>
        </w:tc>
        <w:tc>
          <w:tcPr>
            <w:tcW w:w="2520" w:type="dxa"/>
            <w:tcBorders>
              <w:top w:val="single" w:sz="2" w:space="0" w:color="auto"/>
              <w:left w:val="nil"/>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180</w:t>
            </w:r>
            <w:r>
              <w:t> </w:t>
            </w:r>
            <w:r>
              <w:t>874</w:t>
            </w:r>
            <w:r>
              <w:t> </w:t>
            </w:r>
            <w:r>
              <w:t>756,77</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180</w:t>
            </w:r>
            <w:r>
              <w:t> </w:t>
            </w:r>
            <w:r>
              <w:t>272</w:t>
            </w:r>
            <w:r>
              <w:t> </w:t>
            </w:r>
            <w:r>
              <w:t>379,44</w:t>
            </w:r>
          </w:p>
        </w:tc>
        <w:tc>
          <w:tcPr>
            <w:tcW w:w="1665" w:type="dxa"/>
            <w:tcBorders>
              <w:top w:val="nil"/>
              <w:left w:val="nil"/>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-602 377,33</w:t>
            </w:r>
          </w:p>
        </w:tc>
      </w:tr>
      <w:tr>
        <w:tblPrEx>
          <w:tblW w:w="5000" w:type="pct"/>
          <w:tblLayout w:type="fixed"/>
          <w:tblCellMar>
            <w:left w:w="108" w:type="dxa"/>
            <w:right w:w="108" w:type="dxa"/>
          </w:tblCellMar>
        </w:tblPrEx>
        <w:trPr>
          <w:trHeight w:hRule="auto" w:val="0"/>
        </w:trPr>
        <w:tc>
          <w:tcPr>
            <w:tcW w:w="720" w:type="dxa"/>
            <w:tcBorders>
              <w:top w:val="nil"/>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3</w:t>
            </w:r>
          </w:p>
        </w:tc>
        <w:tc>
          <w:tcPr>
            <w:tcW w:w="2895" w:type="dxa"/>
            <w:tcBorders>
              <w:top w:val="nil"/>
              <w:left w:val="nil"/>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t>Wynik budżetu (1-2)</w:t>
            </w:r>
          </w:p>
        </w:tc>
        <w:tc>
          <w:tcPr>
            <w:tcW w:w="2520" w:type="dxa"/>
            <w:tcBorders>
              <w:top w:val="single" w:sz="2" w:space="0" w:color="auto"/>
              <w:left w:val="nil"/>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-814</w:t>
            </w:r>
            <w:r>
              <w:t> </w:t>
            </w:r>
            <w:r>
              <w:t>373,00</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-814</w:t>
            </w:r>
            <w:r>
              <w:t> </w:t>
            </w:r>
            <w:r>
              <w:t>373,00</w:t>
            </w:r>
          </w:p>
        </w:tc>
        <w:tc>
          <w:tcPr>
            <w:tcW w:w="1665" w:type="dxa"/>
            <w:tcBorders>
              <w:top w:val="nil"/>
              <w:left w:val="nil"/>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0,00</w:t>
            </w:r>
          </w:p>
        </w:tc>
      </w:tr>
      <w:tr>
        <w:tblPrEx>
          <w:tblW w:w="5000" w:type="pct"/>
          <w:tblLayout w:type="fixed"/>
          <w:tblCellMar>
            <w:left w:w="108" w:type="dxa"/>
            <w:right w:w="108" w:type="dxa"/>
          </w:tblCellMar>
        </w:tblPrEx>
        <w:trPr>
          <w:trHeight w:hRule="auto" w:val="0"/>
        </w:trPr>
        <w:tc>
          <w:tcPr>
            <w:tcW w:w="720" w:type="dxa"/>
            <w:tcBorders>
              <w:top w:val="nil"/>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4</w:t>
            </w:r>
          </w:p>
        </w:tc>
        <w:tc>
          <w:tcPr>
            <w:tcW w:w="2895" w:type="dxa"/>
            <w:tcBorders>
              <w:top w:val="nil"/>
              <w:left w:val="nil"/>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t>Przychody ogółem</w:t>
            </w:r>
          </w:p>
        </w:tc>
        <w:tc>
          <w:tcPr>
            <w:tcW w:w="2520" w:type="dxa"/>
            <w:tcBorders>
              <w:top w:val="single" w:sz="2" w:space="0" w:color="auto"/>
              <w:left w:val="nil"/>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4</w:t>
            </w:r>
            <w:r>
              <w:t> </w:t>
            </w:r>
            <w:r>
              <w:t>968</w:t>
            </w:r>
            <w:r>
              <w:t> </w:t>
            </w:r>
            <w:r>
              <w:t>373,00</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4</w:t>
            </w:r>
            <w:r>
              <w:t> </w:t>
            </w:r>
            <w:r>
              <w:t>968</w:t>
            </w:r>
            <w:r>
              <w:t> </w:t>
            </w:r>
            <w:r>
              <w:t>373,00</w:t>
            </w:r>
          </w:p>
        </w:tc>
        <w:tc>
          <w:tcPr>
            <w:tcW w:w="1665" w:type="dxa"/>
            <w:tcBorders>
              <w:top w:val="nil"/>
              <w:left w:val="nil"/>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0,00</w:t>
            </w:r>
          </w:p>
        </w:tc>
      </w:tr>
      <w:tr>
        <w:tblPrEx>
          <w:tblW w:w="5000" w:type="pct"/>
          <w:tblLayout w:type="fixed"/>
          <w:tblCellMar>
            <w:left w:w="108" w:type="dxa"/>
            <w:right w:w="108" w:type="dxa"/>
          </w:tblCellMar>
        </w:tblPrEx>
        <w:trPr>
          <w:trHeight w:hRule="auto" w:val="0"/>
        </w:trPr>
        <w:tc>
          <w:tcPr>
            <w:tcW w:w="720" w:type="dxa"/>
            <w:tcBorders>
              <w:top w:val="nil"/>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5</w:t>
            </w:r>
          </w:p>
        </w:tc>
        <w:tc>
          <w:tcPr>
            <w:tcW w:w="2895" w:type="dxa"/>
            <w:tcBorders>
              <w:top w:val="nil"/>
              <w:left w:val="nil"/>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t>Rozchody budżetu</w:t>
            </w:r>
          </w:p>
        </w:tc>
        <w:tc>
          <w:tcPr>
            <w:tcW w:w="2520" w:type="dxa"/>
            <w:tcBorders>
              <w:top w:val="single" w:sz="2" w:space="0" w:color="auto"/>
              <w:left w:val="nil"/>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4</w:t>
            </w:r>
            <w:r>
              <w:t> </w:t>
            </w:r>
            <w:r>
              <w:t>154</w:t>
            </w:r>
            <w:r>
              <w:t> </w:t>
            </w:r>
            <w:r>
              <w:t>000,00</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4</w:t>
            </w:r>
            <w:r>
              <w:t> </w:t>
            </w:r>
            <w:r>
              <w:t>154</w:t>
            </w:r>
            <w:r>
              <w:t> </w:t>
            </w:r>
            <w:r>
              <w:t>000,00</w:t>
            </w:r>
          </w:p>
        </w:tc>
        <w:tc>
          <w:tcPr>
            <w:tcW w:w="1665" w:type="dxa"/>
            <w:tcBorders>
              <w:top w:val="nil"/>
              <w:left w:val="nil"/>
              <w:bottom w:val="single" w:sz="2" w:space="0" w:color="auto"/>
              <w:right w:val="single" w:sz="2" w:space="0" w:color="auto"/>
            </w:tcBorders>
            <w:noWrap w:val="0"/>
            <w:tcMar>
              <w:top w:w="0" w:type="dxa"/>
              <w:left w:w="0" w:type="dxa"/>
              <w:bottom w:w="0" w:type="dxa"/>
              <w:right w:w="0" w:type="dxa"/>
            </w:tcMar>
            <w:textDirection w:val="lrTb"/>
            <w:vAlign w:val="bottom"/>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0,00</w:t>
            </w:r>
          </w:p>
        </w:tc>
      </w:tr>
      <w:tr>
        <w:tblPrEx>
          <w:tblW w:w="5000" w:type="pct"/>
          <w:tblLayout w:type="fixed"/>
          <w:tblCellMar>
            <w:left w:w="108" w:type="dxa"/>
            <w:right w:w="108" w:type="dxa"/>
          </w:tblCellMar>
        </w:tblPrEx>
        <w:trPr>
          <w:trHeight w:hRule="auto" w:val="0"/>
        </w:trPr>
        <w:tc>
          <w:tcPr>
            <w:tcW w:w="720" w:type="dxa"/>
            <w:tcBorders>
              <w:top w:val="nil"/>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t>6</w:t>
            </w:r>
          </w:p>
        </w:tc>
        <w:tc>
          <w:tcPr>
            <w:tcW w:w="2895" w:type="dxa"/>
            <w:tcBorders>
              <w:top w:val="nil"/>
              <w:left w:val="nil"/>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Wynik operacyjny brutto =</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dochody bieżące - wydatki bieżące</w:t>
            </w:r>
          </w:p>
        </w:tc>
        <w:tc>
          <w:tcPr>
            <w:tcW w:w="2520" w:type="dxa"/>
            <w:tcBorders>
              <w:top w:val="single" w:sz="2" w:space="0" w:color="auto"/>
              <w:left w:val="nil"/>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t>6</w:t>
            </w:r>
            <w:r>
              <w:t> </w:t>
            </w:r>
            <w:r>
              <w:t>605</w:t>
            </w:r>
            <w:r>
              <w:t> </w:t>
            </w:r>
            <w:r>
              <w:t>132,00</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t>6</w:t>
            </w:r>
            <w:r>
              <w:t> </w:t>
            </w:r>
            <w:r>
              <w:t>611</w:t>
            </w:r>
            <w:r>
              <w:t> </w:t>
            </w:r>
            <w:r>
              <w:t>206,00</w:t>
            </w:r>
          </w:p>
        </w:tc>
        <w:tc>
          <w:tcPr>
            <w:tcW w:w="1665" w:type="dxa"/>
            <w:tcBorders>
              <w:top w:val="nil"/>
              <w:left w:val="nil"/>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t>6</w:t>
            </w:r>
            <w:r>
              <w:t> </w:t>
            </w:r>
            <w:r>
              <w:t>074,00</w:t>
            </w:r>
          </w:p>
        </w:tc>
      </w:tr>
    </w:tbl>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Zmiany w planowanych dochodach dotyczyły:</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zmniejszenia dotacji z budżetu państwa na zadanie adaptacji byłej kuchni budynku szpitala na potrzeby bloku operacyjnego i centralnej sterylizatorni, w związku z planowaną realizacją robót w roku 2020;</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zmniejszenia dotacji z Miasta Tarnowskie Góry na zadanie przebudowy ulicy Powstańców w związku z planowaną realizacją zadania w roku przyszłym, przy jednoczesnym wprowadzeniu do tegorocznego budżetu dotacji z Miasta Tarnowskie Góry na przebudowę skrzyżowania ulic Janasa, Sielanka, Starotarnowicka;</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wprowadzenia do budżetu środków unijnych na realizację następujących projektów:</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„Międzynarodowa mobilność edukacyjna uczniów i absolwentów oraz kadry kształcenia zawodowego” w Technikum nr 13;</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„Mobilność kluczem do sukcesu – wzmocnienie kompetencji zawodowych uczniów Tarnogórskiej Sorbony” w Wieloprofilowym Zespole Szkół;</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„Zagraniczna mobilność początkiem drogi zawodowej” w Zespole Szkół Budowlano-Architektonicznych;</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zwiększenia części oświatowej subwencji ogólnej zgodnie z decyzją Ministra Finansów z przeznaczeniem na podwyżki nauczycielskich pensji oraz pokrycie kosztów podwójnego naboru;</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Style w:val="Hyperlink"/>
          <w:rFonts w:ascii="Times New Roman" w:eastAsia="Times New Roman" w:hAnsi="Times New Roman" w:cs="Times New Roman"/>
          <w:b w:val="0"/>
          <w:i w:val="0"/>
          <w:caps w:val="0"/>
          <w:strike w:val="0"/>
          <w:color w:val="000000"/>
          <w:sz w:val="22"/>
          <w:u w:val="none" w:color="000000"/>
          <w:vertAlign w:val="baseline"/>
        </w:rPr>
        <w:t>zwiększenia udziału Powiatu w podatku dochodowym od osób fizycznych z przeznaczeniem na dotacje dla niepublicznych placówek oświatowych. Warto zaznaczyć, iż przyjęte do budżetu łączne planowane dochody z tytułu udziałów w podatku dochodowym od osób fizycznych kształtują się nadal na poziomie poniżej wskaźnika ministerialnego otrzymanego w lutym bieżącego roku;</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Style w:val="Hyperlink"/>
          <w:rFonts w:ascii="Times New Roman" w:eastAsia="Times New Roman" w:hAnsi="Times New Roman" w:cs="Times New Roman"/>
          <w:b w:val="0"/>
          <w:i w:val="0"/>
          <w:caps w:val="0"/>
          <w:strike w:val="0"/>
          <w:color w:val="000000"/>
          <w:sz w:val="22"/>
          <w:u w:val="none" w:color="000000"/>
          <w:vertAlign w:val="baseline"/>
        </w:rPr>
        <w:t>zwiększenia dotacji od Wojewody na realizację zadań zleconych w gospodarce nieruchomościami (w tym na obsługę administracyjną), pomocy społecznej oraz oświacie na zakup podręczników i materiałów ćwiczeniowych;</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7. </w:t>
      </w:r>
      <w:r>
        <w:rPr>
          <w:rStyle w:val="Hyperlink"/>
          <w:rFonts w:ascii="Times New Roman" w:eastAsia="Times New Roman" w:hAnsi="Times New Roman" w:cs="Times New Roman"/>
          <w:b w:val="0"/>
          <w:i w:val="0"/>
          <w:caps w:val="0"/>
          <w:strike w:val="0"/>
          <w:color w:val="000000"/>
          <w:sz w:val="22"/>
          <w:u w:val="none" w:color="000000"/>
          <w:vertAlign w:val="baseline"/>
        </w:rPr>
        <w:t>wprowadzenia do budżetu środków z Krajowego Funduszu Szkoleniowego na studia podyplomowe oraz szkolenia pracowników Starostwa;</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8. </w:t>
      </w:r>
      <w:r>
        <w:rPr>
          <w:rStyle w:val="Hyperlink"/>
          <w:rFonts w:ascii="Times New Roman" w:eastAsia="Times New Roman" w:hAnsi="Times New Roman" w:cs="Times New Roman"/>
          <w:b w:val="0"/>
          <w:i w:val="0"/>
          <w:caps w:val="0"/>
          <w:strike w:val="0"/>
          <w:color w:val="000000"/>
          <w:sz w:val="22"/>
          <w:u w:val="none" w:color="000000"/>
          <w:vertAlign w:val="baseline"/>
        </w:rPr>
        <w:t>korekt środków otrzymanych z Funduszu Pracy na: bieżące wypłaty wynagrodzeń pracowników Powiatowego Urzędu Pracy oraz nagrody za skuteczną walkę z problemem bezrobocia na terenie Powiatu;</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9. </w:t>
      </w:r>
      <w:r>
        <w:rPr>
          <w:rStyle w:val="Hyperlink"/>
          <w:rFonts w:ascii="Times New Roman" w:eastAsia="Times New Roman" w:hAnsi="Times New Roman" w:cs="Times New Roman"/>
          <w:b w:val="0"/>
          <w:i w:val="0"/>
          <w:caps w:val="0"/>
          <w:strike w:val="0"/>
          <w:color w:val="000000"/>
          <w:sz w:val="22"/>
          <w:u w:val="none" w:color="000000"/>
          <w:vertAlign w:val="baseline"/>
        </w:rPr>
        <w:t>zwiększeń w planach Starostwa Powiatowego oraz jednostek oświatowych i pomocy społecznej z tytułu ponadplanowo wygenerowanych dochodów.</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Zmiany w grupie wydatków wynikały z jednej strony z korekty planu dochodów budżetu. Z drugiej zaś strony miały charakter porządkujący, związany z dostosowaniem planu do zachodzących, nieprzewidzianych zdarzeń gospodarczych. Warto w tym miejscu podkreślić, iż prawdopodobnie w całości, zabezpieczony został plan wydatków dla niepublicznych placówek systemu oświaty. Dokonano tego w rezultacie przesunięć w ramach planu wydatków Wydziału Edukacji oraz dzięki zaangażowaniu dodatkowych dochodów z udziałów w PIT. Ewentualne doszacowania planu z tego tytułu, o ile wystąpią, nie powinny być już znaczące wartościowo. Wynikać będą ze zwiększonej liczby uczniów przyjętych do szkół niepublicznych.</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analizowanym okresie nie uległa zmianie wartość rozchodów roku obecnego i w dalszych latach prognozy finansowej.</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Wartości podstawowych kategorii budżetowych w latach następnych uwzględniają dane z przygotowywanego obecnie projektu budżetu na rok 2020. Jeśli chodzi o dochody i wydatki to są one wyższe niż we wrześniowej wersji prognozy. Wynika to z danych otrzymanych z Ministerstwa Finansów, co do wartości udziałów w podatku PIT oraz wysokości części oświatowej i równoważącej subwencji ogólnej. Wyższe kwoty dochodów bieżących rozdysponowane zostały, zarówno do sfinansowania wydatków bieżących, jak też wydatków majątkowych. Pozytywnie wpłynęło to na kształtowanie się wskaźników z art. 242 i 243 ustawy o finansach publicznych, które to wskaźniki do końca bieżącego roku liczone są jeszcze w oparciu o dotychczas obowiązujące przepisy. Od roku 2020 wieloletnia prognoza finansowa sporządzana będzie już na innym wzorze. Inna będzie również metodologia obliczania wyżej wymienionych ustawowych wskaźników. Zasadniczo większego znaczenia nabiorą składowe bieżące dochodów i wydatków. Należy jednak zaznaczyć, iż podane dla przyszłych lat prognozy wartości nie są jeszcze ostateczne. Nadal nie posiadamy informacji od Wojewody o wysokości przyznanych dotacji celowych. Ponadto pewne zadania i parametry budżetowe są nadal kwestią prowadzonych na bieżąco uzgodnień.</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Wprowadzone zmiany spowodowały dla roku 2019 minimalną poprawę wskaźnika z art. 242 ustawy o finansach publicznych. Wynikało to z przeniesień środków z planu wydatków bieżących na majątkowe. Także w latach przyszłych relacja ta jest spełniona, podobnie zresztą jak wskaźnik z art. 243, ze stosunkowo bezpieczną nadwyżką.</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wykazie przedsięwzięć stanowiącym załącznik nr 2 zaszły następujące zmiany:</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wprowadzono zadanie dofinansowane środkami strukturalnymi pn. „Mobilność kluczem do sukcesu – wzmocnienie kompetencji zawodowych uczniów Tarnogórskiej Sorbony” przewidziane do realizacji przez Wieloprofilowy Zespół Szkół w Tarnowskich Górach w latach 2019-2021 w łącznej kwocie 320 843,00 zł. Celem projektu jest umożliwienie młodzieży zdobycia doświadczenia w zakresie praktyk panujących w krajach wymiany;</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wprowadzono zadanie dofinansowane środkami strukturalnymi pn. „Zagraniczna mobilność początkiem drogi zawodowej” przewidziane do realizacji przez Zespół Szkół Budowlano-Architektonicznych w Tarnowskich Górach w latach 2019-2020 w łącznej kwocie 225</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557,00 zł. Celem projektu jest umożliwienie młodzieży zdobycia doświadczenia w zakresie praktyk panujących w krajach wymiany;</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wprowadzono zadanie dofinansowane środkami strukturalnymi pn. „Międzynarodowa mobilność edukacyjna uczniów i absolwentów oraz kadry kształcenia zawodowego” przewidziane do realizacji przez Technikum nr 13 w Radzionkowie w latach 2019-2021 w łącznej kwocie 501 901,00 zł. Celem projektu jest umożliwienie młodzieży zdobycia doświadczenia w zakresie praktyk panujących w krajach wymiany;</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wprowadzono zadanie pod nazwą „Przebudowa pomieszczeń sanitarnych w Zespole Szkół Technicznych i Ogólnokształcących w Tarnowskich Górach” przewidziane do realizacji przez Wydział Inwestycji i Drogownictwa w latach 2019-2020 w łącznej kwocie 302</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000,00 zł. Celem inwestycji jest poprawa warunków sanitarnych w budynku szkoły;</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Style w:val="Hyperlink"/>
          <w:rFonts w:ascii="Times New Roman" w:eastAsia="Times New Roman" w:hAnsi="Times New Roman" w:cs="Times New Roman"/>
          <w:b w:val="0"/>
          <w:i w:val="0"/>
          <w:caps w:val="0"/>
          <w:strike w:val="0"/>
          <w:color w:val="000000"/>
          <w:sz w:val="22"/>
          <w:u w:val="none" w:color="000000"/>
          <w:vertAlign w:val="baseline"/>
        </w:rPr>
        <w:t>w związku z przekształceniem dotychczasowego Zespołu Szkół Techniczno-Ekonomicznych w Radzionkowie w Technikum nr 13 zmieniono dysponenta dla niewydatkowanych dotychczas środków w wysokości 74</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406,00 zł w ramach programu strukturalnego „Matura paszportem w przyszłość”.</w:t>
      </w:r>
    </w:p>
    <w:sectPr>
      <w:footerReference w:type="default" r:id="rId8"/>
      <w:endnotePr>
        <w:numFmt w:val="decimal"/>
      </w:endnotePr>
      <w:type w:val="nextPage"/>
      <w:pgSz w:w="11906" w:h="16838"/>
      <w:pgMar w:top="850" w:right="850" w:bottom="1417" w:left="85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D4DA9CAD-C310-40C5-8F04-3084E2C58FD0.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D4DA9CAD-C310-40C5-8F04-3084E2C58FD0.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D4DA9CAD-C310-40C5-8F04-3084E2C58FD0.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D4DA9CAD-C310-40C5-8F04-3084E2C58FD0.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2018r. poz.2245</w:t>
      </w:r>
    </w:p>
  </w:footnote>
  <w:footnote w:id="1">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2019r. poz.1903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Times New Roman" w:eastAsia="Times New Roman" w:hAnsi="Times New Roman" w:cs="Times New Roman"/>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Rada Powiatu Tarnogórskiego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XIII/146/2019 z dnia 29 października 2019 r.</dc:title>
  <dc:subject>w sprawie zmiany Wieloletniej Prognozy Finansowej Powiatu Tarnogórskiego na lata 2019-2028</dc:subject>
  <dc:creator>nr367</dc:creator>
  <cp:lastModifiedBy>nr367</cp:lastModifiedBy>
  <cp:revision>1</cp:revision>
  <dcterms:created xsi:type="dcterms:W3CDTF">2019-10-30T12:43:39Z</dcterms:created>
  <dcterms:modified xsi:type="dcterms:W3CDTF">2019-10-30T12:43:39Z</dcterms:modified>
  <cp:category>Akt prawny</cp:category>
</cp:coreProperties>
</file>