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4054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</w:t>
            </w:r>
            <w:r w:rsidR="006D28FD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4054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26.06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B4054C">
              <w:rPr>
                <w:rFonts w:eastAsia="Calibri"/>
                <w:sz w:val="20"/>
                <w:szCs w:val="20"/>
              </w:rPr>
              <w:t xml:space="preserve">zbudowa sieci gazowej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2E28B8">
              <w:rPr>
                <w:rFonts w:eastAsia="Calibri"/>
                <w:sz w:val="20"/>
                <w:szCs w:val="20"/>
              </w:rPr>
              <w:t>skie Góry, ul. Staszica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B4054C">
              <w:rPr>
                <w:rFonts w:eastAsia="Calibri"/>
                <w:sz w:val="20"/>
                <w:szCs w:val="20"/>
              </w:rPr>
              <w:t xml:space="preserve"> nr 3202/17, 3201/17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100F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100F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26.07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100F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9539F"/>
    <w:rsid w:val="005D1ECE"/>
    <w:rsid w:val="006D28FD"/>
    <w:rsid w:val="00787343"/>
    <w:rsid w:val="00B100F3"/>
    <w:rsid w:val="00B27802"/>
    <w:rsid w:val="00B4054C"/>
    <w:rsid w:val="00B81169"/>
    <w:rsid w:val="00D961BF"/>
    <w:rsid w:val="00EA762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16</cp:revision>
  <dcterms:created xsi:type="dcterms:W3CDTF">2019-04-15T11:00:00Z</dcterms:created>
  <dcterms:modified xsi:type="dcterms:W3CDTF">2019-07-26T06:14:00Z</dcterms:modified>
</cp:coreProperties>
</file>