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II/33/2018</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18 grudnia 2018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Wieloletniej Prognozy Finansowej Powiatu Tarnogórskiego na lata 2019 - 2028</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226,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227,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228,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229,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230,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242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243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sierpnia 2009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finansach publicznych (tekst jednolity: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2017r.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2077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późn. zm.</w:t>
      </w:r>
      <w:r>
        <w:rPr>
          <w:rStyle w:val="FootnoteReference"/>
        </w:rPr>
        <w:footnoteReference w:id="0"/>
      </w:r>
      <w:r>
        <w:rPr>
          <w:vertAlign w:val="superscript"/>
        </w:rPr>
        <w:t>)</w:t>
      </w:r>
      <w:r>
        <w:rPr>
          <w:rFonts w:ascii="Times New Roman" w:eastAsia="Times New Roman" w:hAnsi="Times New Roman" w:cs="Times New Roman"/>
          <w:b w:val="0"/>
          <w:i w:val="0"/>
          <w:caps w:val="0"/>
          <w:strike w:val="0"/>
          <w:color w:val="000000"/>
          <w:sz w:val="22"/>
          <w:u w:val="none" w:color="000000"/>
          <w:vertAlign w:val="baseline"/>
        </w:rPr>
        <w:t>),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1998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samorządzie powiatowym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2018r.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995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r>
        <w:rPr>
          <w:rStyle w:val="FootnoteReference"/>
        </w:rPr>
        <w:footnoteReference w:id="1"/>
      </w:r>
      <w:r>
        <w:rPr>
          <w:vertAlign w:val="superscript"/>
        </w:rPr>
        <w:t>)</w:t>
      </w:r>
      <w:r>
        <w:rPr>
          <w:rFonts w:ascii="Times New Roman" w:eastAsia="Times New Roman" w:hAnsi="Times New Roman" w:cs="Times New Roman"/>
          <w:b w:val="0"/>
          <w:i w:val="0"/>
          <w:caps w:val="0"/>
          <w:strike w:val="0"/>
          <w:color w:val="000000"/>
          <w:sz w:val="22"/>
          <w:u w:val="none" w:color="000000"/>
          <w:vertAlign w:val="baseline"/>
        </w:rPr>
        <w:t>) oraz Rozporządzenia Ministra Finansów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wieloletniej prognozy finansowej jednostki samorządu terytorialnego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2015r.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92)</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 xml:space="preserve">Uchwala się Wieloletnią Prognozę Finansową Powiatu Tarnogórskiego na lata 2019–2028 wraz </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prognozą kwoty długu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spłat zobowiązań na lata 2019–2028</w:t>
      </w:r>
      <w:r>
        <w:rPr>
          <w:rFonts w:ascii="Times New Roman" w:eastAsia="Times New Roman" w:hAnsi="Times New Roman" w:cs="Times New Roman"/>
          <w:b w:val="0"/>
          <w:i/>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xml:space="preserv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do niniejszej uchwały.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Określa się wykaz przedsięwzięć realizowanych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latach 2019–2022</w:t>
      </w:r>
      <w:r>
        <w:rPr>
          <w:rFonts w:ascii="Times New Roman" w:eastAsia="Times New Roman" w:hAnsi="Times New Roman" w:cs="Times New Roman"/>
          <w:b w:val="0"/>
          <w:i/>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xml:space="preserv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do niniejszej uchwały.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Uchwala się objaśnienia przyjętych wartości do Wieloletniej Prognozy Finansowej Powiatu Tarnogórskiego na lata 2019–2028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nr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do niniejszej uchwały.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Upoważnia się Zarząd Powiatu do zaciągania zobowiązań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realizacją przedsięwzięć, określonych załącznikiem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do uchwały.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Upoważnia się Zarząd Powiatu do zaciągania zobowiązań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tytułu umów których realizacja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budżetowym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latach następnych jest niezbędna do zapewnienia ciągłości działania Powiatu Tarnogórskiego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 których wynikające płatności wykraczają poza rok budżetowy.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Upoważnia się Zarząd Powiatu do przekazania uprawnień kierownikom jednostek organizacyjnych do zaciągania zobowiązań,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Uchyla się uchwałę nr XLIV/363/2017 Rady Powiatu Tarnogórskiego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2017 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sprawie uchwalenia Wieloletniej Prognozy Finansowej Powiatu Tarnogórskiego na lata 2018-2026 oraz jej późniejsze zmiany.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 xml:space="preserve">Wykonanie uchwały powierza się Zarządowi Powiatu Tarnogórskiego. </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sposób zwyczajowo przyjęty. </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pgSz w:w="11906" w:h="16838"/>
          <w:pgMar w:top="850" w:right="850" w:bottom="1417" w:left="850" w:header="708" w:footer="708" w:gutter="0"/>
          <w:cols w:space="708"/>
          <w:docGrid w:linePitch="360"/>
        </w:sectPr>
      </w:pPr>
    </w:p>
    <w:p w:rsidR="00A77B3E">
      <w:pPr>
        <w:keepNext/>
        <w:spacing w:before="280" w:after="280" w:line="360" w:lineRule="auto"/>
        <w:ind w:left="4535"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sectPr>
          <w:footerReference w:type="default" r:id="rId6"/>
          <w:endnotePr>
            <w:numFmt w:val="decimal"/>
          </w:endnotePr>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 do uchwały</w:t>
      </w:r>
      <w:r>
        <w:rPr>
          <w:rFonts w:ascii="Times New Roman" w:eastAsia="Times New Roman" w:hAnsi="Times New Roman" w:cs="Times New Roman"/>
          <w:b w:val="0"/>
          <w:i w:val="0"/>
          <w:caps w:val="0"/>
          <w:strike w:val="0"/>
          <w:color w:val="000000"/>
          <w:sz w:val="22"/>
          <w:u w:val="none" w:color="000000"/>
          <w:vertAlign w:val="baseline"/>
        </w:rPr>
        <w:t xml:space="preserve"> Nr II/33/2018</w:t>
      </w:r>
      <w:r>
        <w:rPr>
          <w:rFonts w:ascii="Times New Roman" w:eastAsia="Times New Roman" w:hAnsi="Times New Roman" w:cs="Times New Roman"/>
          <w:b w:val="0"/>
          <w:i w:val="0"/>
          <w:caps w:val="0"/>
          <w:strike w:val="0"/>
          <w:color w:val="000000"/>
          <w:sz w:val="22"/>
          <w:u w:val="none" w:color="000000"/>
          <w:vertAlign w:val="baseline"/>
        </w:rPr>
        <w:br/>
      </w:r>
      <w: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18 grudnia 2018 r.</w:t>
      </w:r>
      <w:r>
        <w:rPr>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instrText xml:space="preserve"> HYPERLINK "Zalacznik1.pdf" </w:instrText>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t>Zalacznik1.pdf</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p>
    <w:p w:rsidR="00A77B3E">
      <w:pPr>
        <w:keepNext/>
        <w:spacing w:before="280" w:after="280" w:line="360" w:lineRule="auto"/>
        <w:ind w:left="4535"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sectPr>
          <w:footerReference w:type="default" r:id="rId7"/>
          <w:endnotePr>
            <w:numFmt w:val="decimal"/>
          </w:endnotePr>
          <w:type w:val="nextPage"/>
          <w:pgSz w:w="11906" w:h="16838"/>
          <w:pgMar w:top="850" w:right="850" w:bottom="1417" w:left="850" w:header="708" w:footer="708" w:gutter="0"/>
          <w:pgNumType w:start="1"/>
          <w:cols w:space="708"/>
          <w:docGrid w:linePitch="360"/>
        </w:sectPr>
      </w:pP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r>
        <w:t>Załącznik Nr 2 do uchwały</w:t>
      </w:r>
      <w:r>
        <w:rPr>
          <w:rStyle w:val="Hyperlink"/>
          <w:rFonts w:ascii="Times New Roman" w:eastAsia="Times New Roman" w:hAnsi="Times New Roman" w:cs="Times New Roman"/>
          <w:b w:val="0"/>
          <w:i w:val="0"/>
          <w:caps w:val="0"/>
          <w:strike w:val="0"/>
          <w:color w:val="000000"/>
          <w:sz w:val="22"/>
          <w:u w:val="none" w:color="000000"/>
          <w:vertAlign w:val="baseline"/>
        </w:rPr>
        <w:t xml:space="preserve"> Nr II/33/2018</w:t>
      </w:r>
      <w:r>
        <w:rPr>
          <w:rStyle w:val="Hyperlink"/>
          <w:rFonts w:ascii="Times New Roman" w:eastAsia="Times New Roman" w:hAnsi="Times New Roman" w:cs="Times New Roman"/>
          <w:b w:val="0"/>
          <w:i w:val="0"/>
          <w:caps w:val="0"/>
          <w:strike w:val="0"/>
          <w:color w:val="000000"/>
          <w:sz w:val="22"/>
          <w:u w:val="none" w:color="000000"/>
          <w:vertAlign w:val="baseline"/>
        </w:rPr>
        <w:br/>
      </w:r>
      <w:r>
        <w:t>Rady Powiatu Tarnogórskiego</w:t>
      </w:r>
      <w:r>
        <w:rPr>
          <w:rStyle w:val="Hyperlink"/>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18 grudnia 2018 r.</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instrText xml:space="preserve"> HYPERLINK "Zalacznik2.pdf" </w:instrText>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t>Zalacznik2.pdf</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p>
    <w:p w:rsidR="00A77B3E">
      <w:pPr>
        <w:keepNext/>
        <w:spacing w:before="120" w:after="120" w:line="360" w:lineRule="auto"/>
        <w:ind w:left="4535"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r>
        <w:rPr>
          <w:rStyle w:val="Hyperlink"/>
          <w:rFonts w:ascii="Times New Roman" w:eastAsia="Times New Roman" w:hAnsi="Times New Roman" w:cs="Times New Roman"/>
          <w:b w:val="0"/>
          <w:i w:val="0"/>
          <w:caps w:val="0"/>
          <w:strike w:val="0"/>
          <w:color w:val="000000"/>
          <w:sz w:val="22"/>
          <w:u w:val="none" w:color="000000"/>
          <w:vertAlign w:val="baseline"/>
        </w:rPr>
        <w:t>Załącznik nr</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3</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do uchwały nr II/33/2018</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Rady Powiatu Tarnogórskiego</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z dnia 18</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grudnia 2018</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2"/>
          <w:u w:val="none" w:color="000000"/>
          <w:vertAlign w:val="baseline"/>
        </w:rPr>
        <w:t>Objaśnienia kategorii i</w:t>
      </w:r>
      <w:r>
        <w:rPr>
          <w:rStyle w:val="Hyperlink"/>
          <w:rFonts w:ascii="Times New Roman" w:eastAsia="Times New Roman" w:hAnsi="Times New Roman" w:cs="Times New Roman"/>
          <w:b/>
          <w:i w:val="0"/>
          <w:caps w:val="0"/>
          <w:strike w:val="0"/>
          <w:color w:val="000000"/>
          <w:sz w:val="22"/>
          <w:u w:val="none" w:color="000000"/>
          <w:vertAlign w:val="baseline"/>
        </w:rPr>
        <w:t> </w:t>
      </w:r>
      <w:r>
        <w:rPr>
          <w:rStyle w:val="Hyperlink"/>
          <w:rFonts w:ascii="Times New Roman" w:eastAsia="Times New Roman" w:hAnsi="Times New Roman" w:cs="Times New Roman"/>
          <w:b/>
          <w:i w:val="0"/>
          <w:caps w:val="0"/>
          <w:strike w:val="0"/>
          <w:color w:val="000000"/>
          <w:sz w:val="22"/>
          <w:u w:val="none" w:color="000000"/>
          <w:vertAlign w:val="baseline"/>
        </w:rPr>
        <w:t>wartości przyjętych w</w:t>
      </w:r>
      <w:r>
        <w:rPr>
          <w:rStyle w:val="Hyperlink"/>
          <w:rFonts w:ascii="Times New Roman" w:eastAsia="Times New Roman" w:hAnsi="Times New Roman" w:cs="Times New Roman"/>
          <w:b/>
          <w:i w:val="0"/>
          <w:caps w:val="0"/>
          <w:strike w:val="0"/>
          <w:color w:val="000000"/>
          <w:sz w:val="22"/>
          <w:u w:val="none" w:color="000000"/>
          <w:vertAlign w:val="baseline"/>
        </w:rPr>
        <w:t> </w:t>
      </w:r>
      <w:r>
        <w:rPr>
          <w:rStyle w:val="Hyperlink"/>
          <w:rFonts w:ascii="Times New Roman" w:eastAsia="Times New Roman" w:hAnsi="Times New Roman" w:cs="Times New Roman"/>
          <w:b/>
          <w:i w:val="0"/>
          <w:caps w:val="0"/>
          <w:strike w:val="0"/>
          <w:color w:val="000000"/>
          <w:sz w:val="22"/>
          <w:u w:val="none" w:color="000000"/>
          <w:vertAlign w:val="baseline"/>
        </w:rPr>
        <w:t>Wieloletniej Prognozie Finansowej Powiatu Tarnogórskiego na lata 2019</w:t>
      </w:r>
      <w:r>
        <w:rPr>
          <w:rStyle w:val="Hyperlink"/>
          <w:rFonts w:ascii="Times New Roman" w:eastAsia="Times New Roman" w:hAnsi="Times New Roman" w:cs="Times New Roman"/>
          <w:b/>
          <w:i w:val="0"/>
          <w:caps w:val="0"/>
          <w:strike w:val="0"/>
          <w:color w:val="000000"/>
          <w:sz w:val="22"/>
          <w:u w:val="none" w:color="000000"/>
          <w:vertAlign w:val="baseline"/>
        </w:rPr>
        <w:t> </w:t>
      </w:r>
      <w:r>
        <w:rPr>
          <w:rStyle w:val="Hyperlink"/>
          <w:rFonts w:ascii="Times New Roman" w:eastAsia="Times New Roman" w:hAnsi="Times New Roman" w:cs="Times New Roman"/>
          <w:b/>
          <w:i w:val="0"/>
          <w:caps w:val="0"/>
          <w:strike w:val="0"/>
          <w:color w:val="000000"/>
          <w:sz w:val="22"/>
          <w:u w:val="none" w:color="000000"/>
          <w:vertAlign w:val="baseline"/>
        </w:rPr>
        <w:t>– 2028</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Ogólna charakterystyka i założenia</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Wieloletnia Prognoza Finansowa Powiatu Tarnogórskiego obejmuje okres roku budżetowego i kolejne lata aż do roku 2028, kiedy to kończy się wykup ostatniego z planowanych do zaciągnięcia zobowiązań dłużnych tj. obligacji komunalnych.</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Prognozę sporządzono w oparciu o wskaźniki i parametry otrzymane od dysponentów środków</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z obszaru finansów publicznych (informacje o wysokości subwencji ogólnej, udziału w podatku od osób fizycznych, kwotach dotacji od Wojewody Śląskiego na zadania własne i zlecone, wytyczne Ministra Finansów dotyczące założeń makroekonomicznych kraju) oraz posiadane informacje co do kształtowania się podstawowych kategorii budżetowych obecnego roku według stanu na koniec</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października 2018 r.</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latach 2019-2020 zaplanowano budżety deficytowe. Źródłem pokrycia deficytu są w roku 2019 przychody z wolnych środków, zaś w roku 2020 przychody z planowanych do emisji obligacji komunalnych. W pozostałych latach planuje się budżety zrównoważone. Wygenerowane nadwyżki w kolejnych latach planuje się przeznaczyć w całości na spłatę zaciągniętych kredytów i pożyczki inwestycyjnej oraz wykup wyemitowanych obligacji. Prognozując wartości ujęte w WPF stosowano zasadę ostrożności chcąc zachować jak najlepszą realistyczność tego narzędzia planowania.</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Dochody budżetowe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Dochody budżetowe na rok 2019 wyliczono na kwotę 168</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733 146 zł, w tym:</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dochody bieżące – 157</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154 247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dochody majątkowe – 11</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578 899 zł.</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Rok 2019 przyjęto jako odniesienie i bazę porównań na lata 2020-2028 prognozy.</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Wielkość przyjęta w planie dochodów ogółem na 2019 rok jest większa od planu obecnego roku, wg stanu na koniec października 2018 r., o kwotę 2,94 mln zł. O ile jednak dochody bieżące planowane na 2019 rok są o 6,69 mln zł wyższe niż w roku 2018, to dochody majątkowe roku 2019 są niższe niż te w roku 2018 o 3,75 mln zł. W przypadku dochodów bieżących, ostateczna, niemniej dodatnia różnica jest rezultatem:</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zwiększenia w roku 2019 środków z udziału w podatku dochodowym od osób fizycznych;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zwiększenia w roku 2019 planowanej części oświatowej subwencji ogólnej;</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zmniejszenia w roku 2019 środków z dotacji na realizację zadań bieżących.</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Niższe dochody z dotacji na zadania bieżące w budżecie na początku roku 2019, w porównaniu ze stanem na koniec października roku obecnego, nie powinny niepokoić. Obserwowane zachowania dysponentów w większości przypadków polegają na tym, iż plany na początku są nieco niższe. Środki z dotacji od Wojewody zwiększane są następnie w ciągu całego roku na podstawie decyzji finansowych. Podobnie w ciągu roku podpisywane mogą być umowy o współfinansowanie (pomoc finansowa) przez gminy zadań powiatowych np. w infrastrukturze drogowej.</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Jeśli chodzi o dochody majątkowe, niższe w roku 2019 są zarówno planowane wpływy z dotacji jak też ze sprzedaży majątku. W przypadku dotacji wynika to przede wszystkim z zakończenia w roku 2018 większości zadań w obszarze Zintegrowanych Inwestycji Terytorialnych, kiedy to miała na tym odcinku miejsce największa kumulacja prac. Zadaniami planowanymi do realizacji w latach 2019-2021 są termomodernizacja budynku DPS „Przyjaźń” w Tarnowskich Górach, termomodernizacja budynku Specjalnego Ośrodka Szkolno-Wychowawczego w Tarnowskich Górach oraz  termomodernizacja budynku Zespołu Szkół Technicznych i Ogólnokształcących w Tarnowskich Górach. Dochody ze sprzedaży majątku są niższe niż te planowane na koniec października obecnego roku ze względu na mniejszą ilość atrakcyjnych do zbycia nieruchomości będących w posiadaniu Powiatu. Należy w tym miejscu dodać, iż rok 2018 był szczególny pod tym względem bowiem sfinalizowano zbycie nieruchomości dawnego budynku koszarowca co znacznie podniosło wykonanie tego tytułu ze względu na stosunkowo wysoką wartość tego składnika.</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Kwota dochodów ogółem najwyższą wartość przyjmuje dla roku 2019. Potem do roku 2022 występuje tendencja malejąca. Dopiero od roku 2023 do końca okresu prognozy następuje niewielki, coroczny wzrost wartości dochodów ogółem. Zasadniczy wpływ na taką sytuację mają dwa tytuły dochodów tj.:</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wysokość części oświatowej subwencji ogólnej, która w latach 2019-2021 ulega pewnym wahaniom, w związku z wdrożeniem reformy administracyjnej w oświacie i realizacją w tym czasie tzw. „podwójnego naboru”;</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dotacje na realizację projektów i programów współfinansowanych środkami unijnymi, które najwyższe wartości przyjmują w roku 2019. W następnych latach, aż do roku 2023 następuje ich systematyczny spadek. Dopiero po tym okresie notujemy w tym obszarze nieznaczne, acz systematyczne wzrosty, gdyż z nadzieją zakładamy rozpoczęcie kolejnej, nie tak już intensywnej, perspektywy finansowania unijnego.</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Najbardziej ogólny podział strony dochodowej uwzględnia tylko dochody bieżące i majątkowe, niemniej do celów analitycznych konieczne jest przedstawienie ich w większej szczegółowości. Poniżej przedstawiono założenia przyjęte przy prognozowaniu poszczególnych tytułów dochodów tworzących powyższe dwie, podstawowe grupy. Starano się nie uwzględniać niepewnych, incydentalnych źródeł i tytułów. I tak w przypadku dochodów bieżących: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udziały w podatku dochodowym od osób fizycznych (kwota 42 mln zł w roku 2019) – zaplanowano w oparciu o znacznie skorygowaną „in minus” (kwota nieco ponad 2,7 mln zł) wartość wskaźnika otrzymanego z Ministerstwa Finansów na rok 2019. Na kolejne lata założono niewielkie wzrosty (corocznie w granicach 300-400 tys. zł) kierując się  zasadą ostrożności. Przy prognozowaniu tego tytułu w latach następnych wzięto pod uwagę sytuację gospodarczą w kraju i zagranicą. Planowany dalszy wzrost PKB oraz dobra sytuacja na rynku pracy (niskie bezrobocie) stanowią przesłanki do znacznie wyższych przyrostów kwoty udziałów w kolejnych latach – a nawet utrzymania trendu z 3-4 ostatnich lat, kiedy to coroczne wzrosty sięgały nawet ponad 2,0 mln zł. Nie można mieć jednak pewności jak długo utrzymywać się będzie dobra koniunktura na rynkach europejskich i światowych. Ważne w tym kontekście są problemy z zadłużeniem a także deficytem w budżecie roku 2019 dla Włoch (strefa Euro) oraz coraz bardziej protekcjonistyczna polityka USA (kolejne cła nakładane na towary – przede wszystkim z Chin – i coraz bardziej realna groźba wojny handlowej). Mając na względzie powyższe przeciwstawne tendencje przyjęto tylko tak nieznaczne wzrosty tego tytułu, którego wartość w ostatnim roku prognozy wyniesie 45,2 mln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udziały w podatku dochodowym od osób prawnych – przyjęto w oparciu</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o wykonania lat ubiegłych oraz prognozę co do kształtowania się sytuacji ekonomicznej kraju</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w przyszłości. W roku 2019 założono kwotę 1,2 mln zł, a w następnych latach jej niewielkie wzrosty, aż do wysokości 1,34 mln zł w 2028;</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dochody z tytułu podatków i opłat (plan na 2019 rok – 4,55 mln zł) – zaplanowano uwzględniając wykonania lat ubiegłych oraz przewidywane wykonanie roku 2018. Choć dochody z tego tytułu charakteryzują się od kilku już lat stosunkowo dużą stabilnością, pomiędzy rokiem 2018 a 2019 notuje się ich spadek (około 150 tys. zł), co związane jest, w głównej mierze, z innym podziałem środków z opłat i kar za gospodarcze korzystanie ze środowiska. Realizacja pozostałych elementów tego tytułu w przedmiocie opłat administracyjnych za wydanie dokumentów komunikacyjnych, za zajęcie pasa jezdni, wpływów z opłat za koncesje i licencje, opłat za trwały zarząd i użytkowanie wieczyste nieruchomości, opłat z tytułu zwrotu kosztów sądowych kształtuje się podobnie jak w latach ubiegłych. Tym też, oprócz informacji z wydziałów merytorycznych, kierowano się prognozując lata przyszłe. Uwzględniono więc coroczne, bardzo nieznaczne, wzrosty tego tytułu a jego wartość na koniec okresu prognozy wynosi 4,67 mln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część oświatową subwencji ogólnej stanowiącą główny składnik planowanych dochodów celowo-parametrycznych Powiatu dla roku 2019 przyjęto, biorąc za punkt wyjścia wskaźnik ministerialny otrzymany na tenże rok tj. 66,6 mln zł. Tytuł ten prognozowany był do tej pory, w kolejnych latach prognozy, z nieznacznymi spadkami z uwagi na sytuację demograficzną. Jednakże otrzymane na rok 2019 wskaźniki zakładają poziom części oświatowej subwencji z tak znaczącym przyrostem, w odniesieniu do roku 2018, iż wskaźnik ten sprawi duże trudności planistyczne. Mimo to w przyszłych latach prognozy założono generalnie stabilizację tego tytułu. Pewne wahnięcie pomiędzy rokiem 2020 a 2021 wynika z potrzeby weryfikacji subwencji odniesionej do planowanego naboru. W kolejnych latach założono symboliczne wzrosty w stosunku do roku 2021 w ten sposób, iż dopiero na koniec okresu prognozy wartość tego tytułu wyniesie 66,7 mln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Style w:val="Hyperlink"/>
          <w:rFonts w:ascii="Times New Roman" w:eastAsia="Times New Roman" w:hAnsi="Times New Roman" w:cs="Times New Roman"/>
          <w:b w:val="0"/>
          <w:i w:val="0"/>
          <w:caps w:val="0"/>
          <w:strike w:val="0"/>
          <w:color w:val="000000"/>
          <w:sz w:val="22"/>
          <w:u w:val="none" w:color="000000"/>
          <w:vertAlign w:val="baseline"/>
        </w:rPr>
        <w:t>część równoważącą subwencji ogólnej – jako tytuł trudny do zaplanowania – przyjęto dla roku 2019 w oparciu o poziom wskaźnika jaki Powiat otrzymał z Ministerstwa Finansów. W kolejnych latach prognozy tytuł ten założono w takiej samej wysokości jak w roku 2019;</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Style w:val="Hyperlink"/>
          <w:rFonts w:ascii="Times New Roman" w:eastAsia="Times New Roman" w:hAnsi="Times New Roman" w:cs="Times New Roman"/>
          <w:b w:val="0"/>
          <w:i w:val="0"/>
          <w:caps w:val="0"/>
          <w:strike w:val="0"/>
          <w:color w:val="000000"/>
          <w:sz w:val="22"/>
          <w:u w:val="none" w:color="000000"/>
          <w:vertAlign w:val="baseline"/>
        </w:rPr>
        <w:t>w odniesieniu zaś do subwencji wyrównawczej w prognozie finansowej nie planowano dochodów z tego tytułu;</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Style w:val="Hyperlink"/>
          <w:rFonts w:ascii="Times New Roman" w:eastAsia="Times New Roman" w:hAnsi="Times New Roman" w:cs="Times New Roman"/>
          <w:b w:val="0"/>
          <w:i w:val="0"/>
          <w:caps w:val="0"/>
          <w:strike w:val="0"/>
          <w:color w:val="000000"/>
          <w:sz w:val="22"/>
          <w:u w:val="none" w:color="000000"/>
          <w:vertAlign w:val="baseline"/>
        </w:rPr>
        <w:t>w grupie dotacji i środków przeznaczonych na zadania bieżące uwzględniono między innymi:</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dotacje otrzymane z budżetu państwa na zadania własne i zlecone skalkulowano, dla całego okresu, w oparciu o informacje otrzymane ze Śląskiego Urzędu Wojewódzkiego dla roku 2019 (22,3 mln zł). Przy prognozowaniu posłużono się również wykonaniami lat poprzednich. Powyższy tytuł zaplanowano w latach 2020 – 2028 uwzględniając nieznaczne wzrosty roczne (przeciętnie o około 0,5-1%);</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dotacje otrzymane z innych jednostek samorządu terytorialnego w oparciu</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o zawarte porozumienia np. dotacje z funduszy celowych, z tytułu pomocy finansowej udzielanej pomiędzy jednostkami samorządu terytorialnego oraz w ramach porozumień z gminami – przyjęto uwzględniając wykonania lat ubiegłych, a także podpisane lub przewidywane do podpisania porozumienia. W dotychczas funkcjonującej wieloletniej prognozie tytuł ten obejmował przede wszystkim wsparcie w opiece społecznej. W uchwale na 2019 rok powyższy tytuł ewidencjonowany będzie w innej klasyfikacji budżetowej (ujmowany będzie w grupie pozostałych dochodów bieżących). Na rok 2019 przyjęto wartość 0,6 mln zł (brak w tym tytule pomocy finansowej z gmin na zadania na drogach). W kolejnych latach dochody z tego tytułu oscylować będą w granicach 1,2 – 1,4 mln zł gdyż uwzględniono w nich także potencjalne wsparcia z gmin na prace remontowo-konserwacyjne na drogach i w infrastrukturze drogowej;</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środki z Funduszu Pracy otrzymane z przeznaczeniem na sfinansowanie kosztów wynagrodzeń i składek na ubezpieczenia społeczne dla pracowników Powiatowego Urzędu Pracy w Tarnowskich Górach zaplanowano zgodnie z informacjami otrzymanymi z Powiatowego Urzędu Pracy. W całym okresie prognozy tytuł ten, jako trudny do dokładnego prognozowania, ustalono na poziomie zbliżonym do roku 2019 tj. około 0,42-0,43 mln zł;</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dochody otrzymane od instytucji wdrażających na programy i projekty współfinansowane środkami zewnętrznymi skalkulowano mając na względzie porozumienia już zawarte oraz przewidywane do podpisania. Chociaż perspektywa unijna 2014-2020 nastawiona jest głównie na rozwój infrastrukturalny (Zintegrowane Inwestycje Terytorialne) część tzw. projektów miękkich będzie powiązana z projektami infrastrukturalnymi. Jako przykłady wymienić tu można „Powiatową Akademię Sukcesu Ucznia Szkoły Zawodowej” lub „Powiatowe Centrum Usług Społecznych”. Projekty te będą realizowane do roku 2021. Od 2022 roku tytuł ten znacznie obniża swą wartość w związku z prawdopodobnym ograniczeniem dofinansowania unijnego w nowej perspektywie budżetowej. Planowana wartość tego tytułu w roku 2019 wynosi 4,5 mln zł, w roku 2020 – 3,7 mln zł, w roku 2021 – 2,0 mln zł, a w następnych latach w granicach 1,1-1,5 mln zł.</w:t>
      </w:r>
    </w:p>
    <w:p w:rsidR="00A77B3E">
      <w:pPr>
        <w:keepNext w:val="0"/>
        <w:keepLines w:val="0"/>
        <w:spacing w:before="120" w:after="120" w:line="240" w:lineRule="auto"/>
        <w:ind w:left="624"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Łączna wysokość dochodów z tytułów opisanych w ustępie 7 dla roku 2019 wynosi 27,9 mln zł. Na podobnym poziomie utrzymuje się ona również w roku 2020. Potem do roku 2023 obserwujemy systematyczne spadki do poziomu 25,8 mln zł na co wpływają głównie środki unijne opisane w punkcie 4. Tytuły określone w punktach 1-3 zachowują się bardziej stabilnie a także przewidywalnie (niewielkie coroczne wzrosty lub podobny poziom w całym okresie). To właśnie one kształtują łączną wysokość dla całej grupy w latach 2023-2028.</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Style w:val="Hyperlink"/>
          <w:rFonts w:ascii="Times New Roman" w:eastAsia="Times New Roman" w:hAnsi="Times New Roman" w:cs="Times New Roman"/>
          <w:b w:val="0"/>
          <w:i w:val="0"/>
          <w:caps w:val="0"/>
          <w:strike w:val="0"/>
          <w:color w:val="000000"/>
          <w:sz w:val="22"/>
          <w:u w:val="none" w:color="000000"/>
          <w:vertAlign w:val="baseline"/>
        </w:rPr>
        <w:t>pozostałe dochody bieżące nie uwzględnione powyżej to przede wszystkim wpływy z usług (między innymi: od pensjonariuszy w DPS-ach, rozliczenia z tytułu pobytu dzieci w pieczy zastępczej, faktury za czynsze, media i usługi geodezyjne), wpływy z najmu składników majątkowych, odsetki od nieterminowych wpłat oraz od środków zgromadzonych na rachunkach bankowych, 5% i 25% dochodów przynależnych powiatowi z tytułu realizacji zadań z zakresu administracji rządowej, zwroty środków z rozliczeń z lat ubiegłych oraz pozostałe nieznaczące wartościowo tytuły. Wielkość tych dochodów skalkulowano w oparciu o przewidywane wykonanie roku bieżącego oraz o informacje uzyskane z wydziałów merytorycznych w przedmiocie opłat za media, najmy, odpłatności od pensjonariuszy w DPS-ach. Dla roku 2019 stanowi to wielkość 14,1 mln zł. Do roku 2022 tytuły te wykazują nieznaczną tendencję malejącą. Kierowano się tu zasadą ostrożności uwzględniając procedowane obecnie zmiany w pieczy zastępczej (ograniczenie odpłatności gmin za pobyt dzieci w placówkach opiekuńczo-wychowawczych). Od roku 2023 widać na tym odcinku odwrócenie trendu spadkowego. I choć wzrosty w kolejnych latach nie są spektakularne to jednak systematyczne do końca okresu prognozy.</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odniesieniu do tytułów majątkowych ich główne składowe przedstawiają się następująco:</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dochody ze sprzedaży majątku – zaplanowano w oparciu o informacje uzyskane z Wydziału Gospodarki Nieruchomościami (w aspekcie sprzedaży nieruchomości) oraz od pozostałych wydziałów i jednostek organizacyjnych (w aspekcie sprzedaży ruchomych składników majątkowych). Pomimo iż Powiat posiada jeszcze do zbycia określoną ilość nieruchomości ich atrakcyjność dla potencjalnych kupujących jest coraz niższa, co w połączeniu ze stagnacją na rynku transakcji nieruchomościami nakazuje, w roku 2019 i w latach następnych, planować tytuł ten z dużą ostrożnością. Dlatego jego wartość w roku 2019 wynosi 1,3 mln zł i w każdym kolejnym roku jest coraz niższa aż do osiągnięcia poziomu 0,4 mln zł w latach 2026-2028. Nadmienić tu należy, iż planowane wykonanie tego tytułu w roku 2018 wyniesie nieco ponad 2,0 mln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dochody z tytułu dotacji oraz środków przeznaczonych na inwestycje – założono w oparciu</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o podpisane lub planowane do podpisania umowy dotacyjne na zadania inwestycyjne. W latach 2019-2020 w ramach Zintegrowanych Inwestycji Terytorialnych planuje się pozyskać środki na termomodernizacje budynków w oświacie i pomocy społecznej. W tych samych latach Powiat planuje aplikować o środki z rezerwy celowej budżetu na współfinansowanie adaptacji pomieszczeń szpitalnych na potrzeby bloku operacyjnego i centralnej sterylizatorni. W roku 2019 planuje się także pozyskać środki z rządowego programu rozwoju gminnej i powiatowej infrastruktury drogowej na lata 2016-2019 oraz z gmin na realizację zadań inwestycyjnych na drogach. Środki planowane w latach 2021-2028 nie wynikają z podpisanych bądź planowanych na obecny moment do podpisania umów. Ich wartość skalkulowano w oparciu o realizację tego tytułu na przestrzeni ostatnich kilku lat, ale również wzięto pod uwagę wykorzystanie szans, które mogą stworzyć aplikacje o środki zewnętrzne. Przyjęto tu poziomy dofinansowania po 1,3-1,5 mln zł z trzech źródeł, a mianowicie z budżetu państwa, z gmin oraz ze środków strukturalnych, co prognozuje łącznie około 4,0-4,5 mln zł rocznie.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Wahania w grupie dochodów ogółem, szczególnie zaś w okresie 2019-2022, determinowane są przeważnie zmianami związanymi z realizacją zadań unijnych. Dotyczy to, zarówno obszaru bieżącego, jak też majątkowego. Do roku 2022 wykazują tendencję malejącą w związku z zakończeniem realizacji i ewentualnym rozliczeniem zadań finansowanych z perspektywy budżetowej 2014-2020. Od roku 2023 dochody „unijne” określone zostały szacunkowo w wysokościach porównywalnych dla całego dalszego okresu prognozy. Od tego momentu za wzrost dochodów ogółem odpowiedzialne są jednak pozostałe, główne pozycje (udziały w podatkach, subwencje, opłaty administracyjne). Dochody bieżące w całym okresie wydają się bardziej stabilne, co ułatwia ich prognozowanie. Ich wahania kształtują się pomiędzy 154,6-159,8 mln zł. Przy prognozowaniu dochodów majątkowych starano się nie opierać budżetów w poszczególnych latach o niepewne i często incydentalne dochody ze sprzedaży majątku – stąd planowane dochody z tego tytułu kształtują się zaledwie na poziomie 1,3 mln zł w roku 2019 z tendencją malejącą do 0,4 mln zł w roku 2028.</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Wydatki budżetowe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Wydatki budżetowe na rok 2019 wyliczono na kwotę 170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976 146 zł, w tym:</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wydatki bieżące – 150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460 855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wydatki majątkowe – 20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515 291 zł.</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Środki wyasygnowane w budżecie na realizację wydatków determinowane są wysokością prognozowanych dochodów. Na ogólną pulę środków do dyspozycji negatywnie wpływa poziom rozchodów z tytułu spłaty zaciągniętych tytułów dłużnych, zaś pozytywnie – zaplanowane przychody, w praktyce gospodarczej Powiatu z planowanych do emisji obligacji komunalnych oraz pozostających na rachunku budżetu wolnych środków z rozliczenia działalności kredytobiorczej z lat ubiegłych. Kształtowanie się wydatków ogółem w poszczególnych latach prognozy a także różnice pomiędzy planowanymi kwotami w poszczególnych latach skorelowane są ze stroną dochodową budżetu. Coroczne obniżenia poziomu planu wydatków ogółem mają miejsce od roku 2019 do roku 2022. Jako przyczynę spadków można wskazać, podobnie jak w przypadku dochodów, „wygaszanie” programów i projektów dofinansowanych środkami zewnętrznymi, w głównej mierze unijnymi. Największe wydatki w ramach Zintegrowanych Inwestycji Terytorialnych poniesione zostały w roku 2018. I choć projekty te będą nadal realizowane w latach 2019-2020 to już dla znacznie mniejszej liczby zadań (planowane trzy zadania termomodernizacyjne). Do roku 2020 założono także dofinansowanie kilku zadań w ochronie zdrowia i infrastrukturze drogowej środkami z programów oferowanych przez budżet państwa. Od roku 2023 do końca okresu prognozy zauważalna jest nieznaczna tendencja wzrostowa planu wydatków, zarówno jeżeli chodzi o wydatki bieżące jak też i majątkowe.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Łączna wartość planu wydatków na rok 2019 jest nieznacznie niższa (o nieco ponad 1,5 mln zł) od planu roku 2018, według stanu na koniec października. Różna jest również struktura. W roku 2018 plan wydatków bieżących wynosi 146,4 mln zł, zaś plan na rok 2019 stanowi 150,5 mln zł. Jeśli chodzi o wydatki majątkowe w planie roku 2018 mamy 26,0 mln zł, zaś na rok 2019 przewiduje się 20,5 mln zł. W wydatkach majątkowych dominują projekty dofinansowane środkami zewnętrznymi –  unijnymi w ramach Zintegrowanych Inwestycji Terytorialnych, z budżetu państwa czy też z porozumień z innymi jednostkami sektora finansów publicznych. Działania w tym segmencie nastawione są przede wszystkim na poprawę infrastruktury drogowej, ochronę zdrowia i pomoc społeczną, czy też na oświatę i edukacyjną opiekę wychowawczą. Wydatki bieżące, poza programami unijnymi, stanowią zazwyczaj pozycje o charakterze stałym. Przy obecnej strukturze organizacyjnej, zważywszy na prognozowane wzrosty cen towarów i usług, będą one z roku na rok coraz wyższe. W ostatnim okresie, aż nadto zauważalna, staje się też presja ze strony pracowników oraz organizacji ich zrzeszających na wzrost wynagrodzeń. Ze względu na niedobory kadry na rynku, a także znacznie lepsze warunki wynagradzania w sektorze prywatnym, presja ta będzie narastać. Pomimo starań zmierzających do obniżenia, przynajmniej pozapłacowych kosztów funkcjonowania, Zarząd ma tu ograniczone pole manewru.</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grupie wydatków:</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wydatki z tytułu poręczeń i gwarancji – w roku 2018 wygasło poręczenie udzielone na rzecz Wielospecjalistycznego Szpitala Powiatowego S.A. w Tarnowskich Górach na modernizację cieplną budynków. Pożyczka została zaciągnięta przez Szpital w Wojewódzkim Funduszu Ochrony Środowiska i Gospodarki Wodnej w Katowicach. Na moment sporządzania niniejszych objaśnień Powiat nie udzielił poręczeń i gwarancji.</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wartości w wierszu obsługa długu wynikają z ustalonego przez pożyczko- i kredytodawców oprocentowania oraz oprocentowania obligacji komunalnych. Uwzględniono także wydatki od możliwego do wykorzystania limitu kredytu w rachunku bieżącym. Wartości uwzględniają ponadto odsetki od planowanych do wyemitowania pod koniec 2018 roku obligacji komunalnych. Kwota planu na przyszły rok jest porównywalna do planu na koniec października 2018 roku i odzwierciedla zarówno spłatę starych zobowiązań dłużnych jak też planowaną emisję nowych obligacji komunalnych. Przy prognozowaniu tego tytułu kierowano się zasadą ostrożności co do kształtowania się stóp procentowych w przyszłości. Należy mieć bowiem na uwadze, że obecnie kształtują się one na bardzo niskim poziomie;</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wynagrodzenia i składki od nich naliczane skalkulowano na rok 2019 w oparciu o skorygowane informacje przedstawione przez służby kadrowe Starostwa i powiatowych jednostek organizacyjnych. Wartości dla roku 2019 są wyższe niż choćby wartość planu roku obecnego wg stanu na koniec października 2018. W latach następnych planuje się dalsze niewielkie wzrosty wynikające z presji płacowej, przeszeregowań pracowników, wysługi lat, dodatków specjalnych itp. Pomimo tak wysokiego zaangażowania środków istnieje pewne ryzyko, iż zaplanowane wartości na wynagrodzenia mogą okazać się niewystarczające, w odniesieniu do oświaty i edukacyjnej opieki wychowawczej, w sytuacji pełnej obsady kadrowej oraz planowanych podwyżek płac. Pod koniec przyszłego roku może zaistnieć konieczność zwiększenia planu na tym odcinku;</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 xml:space="preserve">wydatki związane z funkcjonowaniem organów jednostek samorządu terytorialnego to środki finansujące rozdziały </w:t>
      </w:r>
      <w:r>
        <w:rPr>
          <w:rStyle w:val="Hyperlink"/>
          <w:rFonts w:ascii="Times New Roman" w:eastAsia="Times New Roman" w:hAnsi="Times New Roman" w:cs="Times New Roman"/>
          <w:b w:val="0"/>
          <w:i/>
          <w:caps w:val="0"/>
          <w:strike w:val="0"/>
          <w:color w:val="000000"/>
          <w:sz w:val="22"/>
          <w:u w:val="none" w:color="000000"/>
          <w:vertAlign w:val="baseline"/>
        </w:rPr>
        <w:t>75019 i 75020</w:t>
      </w:r>
      <w:r>
        <w:rPr>
          <w:rStyle w:val="Hyperlink"/>
          <w:rFonts w:ascii="Times New Roman" w:eastAsia="Times New Roman" w:hAnsi="Times New Roman" w:cs="Times New Roman"/>
          <w:b w:val="0"/>
          <w:i w:val="0"/>
          <w:caps w:val="0"/>
          <w:strike w:val="0"/>
          <w:color w:val="000000"/>
          <w:sz w:val="22"/>
          <w:u w:val="none" w:color="000000"/>
          <w:vertAlign w:val="baseline"/>
        </w:rPr>
        <w:t>. W roku 2019 są one niższe niż w okresie 2017-2018. Jest to jednak związane tylko z obszarem majątkowym i zakończeniem w 2018 roku realizacji inwestycji adaptacji budynku przy ul. Sienkiewicza 16 na potrzeby utworzenia Centrum Usług Społecznych. W roku 2019 omawiany tytuł został skalkulowany w oparciu o informacje otrzymane z wydziałów. Na lata następne zaś na poziomie planu roku 2019 skorygowanego w górę w związku z rosnącymi kosztami prowadzenia zadań oraz wynagrodzeniami pracowników administracji i dietami radnych;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Style w:val="Hyperlink"/>
          <w:rFonts w:ascii="Times New Roman" w:eastAsia="Times New Roman" w:hAnsi="Times New Roman" w:cs="Times New Roman"/>
          <w:b w:val="0"/>
          <w:i w:val="0"/>
          <w:caps w:val="0"/>
          <w:strike w:val="0"/>
          <w:color w:val="000000"/>
          <w:sz w:val="22"/>
          <w:u w:val="none" w:color="000000"/>
          <w:vertAlign w:val="baseline"/>
        </w:rPr>
        <w:t>wydatki objęte limitem art. 226 ust. 3 są zgodne z wartościami wykazanymi w załączniku pod nazwą „Wykaz przedsięwzięć do WPF”. Wartości wykazane dotyczą, zarówno umów już podpisanych, jak i planowanych do podpisania;</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Style w:val="Hyperlink"/>
          <w:rFonts w:ascii="Times New Roman" w:eastAsia="Times New Roman" w:hAnsi="Times New Roman" w:cs="Times New Roman"/>
          <w:b w:val="0"/>
          <w:i w:val="0"/>
          <w:caps w:val="0"/>
          <w:strike w:val="0"/>
          <w:color w:val="000000"/>
          <w:sz w:val="22"/>
          <w:u w:val="none" w:color="000000"/>
          <w:vertAlign w:val="baseline"/>
        </w:rPr>
        <w:t>dane dotyczące nowych i kontynuowanych wydatków inwestycyjnych założono w oparciu o poziom planowanych wydatków majątkowych w danym roku a także stopień realizacji przedsięwzięć wieloletnich. Na etapie tworzenia budżetu na rok 2019 Powiat nie planuje udzielania dotacji majątkowych. Jednak w latach następnych tj. od 2020 założono niewielką rezerwę 100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 celem współfinansowania zadań na drogach w sytuacji wspólnego z gminami aplikowania o środki.</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Wysokość dochodów oraz wydatków na projekty i programy unijne ujęta w sekcji nr 12 pod nazwą „Finansowanie programów, projektów lub zadań realizowanych z udziałem środków, o których mowa w art. 5 ust.1 pkt 2 i pkt 3 ustawy o finansach publicznych” załącznika nr 1 została określona na podstawie umów już podpisanych, ale także umów zaplanowanych do zawarcia. Dla tych zadań procedury naboru są w trakcie bądź będą przeprowadzane w roku 2019 i w dwóch następnych latach. Informacje te są zatem przedstawione do roku 2021, gdyż na moment sporządzania niniejszych objaśnień nie posiadamy wiedzy aby konkretne projekty unijne były realizowane w latach późniejszych. Ma to także odzwierciedlenie w załączniku nr 2 „Wykaz przedsięwzięć do WPF” w punkcie 1.1 gdzie limity wydatków zaplanowano do końca 2021 roku. Przy określaniu kwot wydatków wzięto pod uwagę także wkład własny niezbędny do realizacji zadań.</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Przychody i rozchody budżetu</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Planowane przychody dotyczą lat 2019-2020 i obejmują:</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w roku 2019 wolne środki uzyskane z rozliczenia działalności kredytobiorczej budżetu w latach ubiegłych w kwocie 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397 000 zł a także środki z emisji obligacji komunalnych w wysokości 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 (pierwsza transza);</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w roku 2020 środki uzyskane z emisji obligacji komunalnych w kwocie 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500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 (druga transza).</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Kwota przychodów z wolnych środków jest realna do osiągnięcia o czym świadczy wykonanie podstawowych kategorii w budżecie na koniec III kwartału 2018 roku, przewidywania co do kształtowania się podstawowych kategorii budżetu na koniec roku 2018 a także niezaangażowana kwota wolnych środków z roku 2017 pozostająca w budżecie.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wierszu rozchody ogółem ujęto spłatę dotychczas zaciągniętych kredytów i  pożyczki inwestycyjnej oraz wykup wyemitowanych obligacji komunalnych w wysokościach określonych w odnośnych harmonogramach spłat. Ujęto także od roku 2020 wykup obligacji komunalnych, które Powiat zamierza wyemitować pod koniec roku 2018. W latach 2019-2020 spłata rozchodów będzie dokonywana z nowo zaciągniętego długu (emisja obligacji) oraz przychodów z wolnych środków. Począwszy od roku 2021 wygenerowana nadwyżka budżetowa, a więc różnica pomiędzy dochodami a wydatkami ogółem, przeznaczana będzie w całości na spłatę zobowiązań dłużnych.</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roku 2019 rozchody (kwota 2 154 000 zł) obejmują następujące tytuły: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spłata rat kredytu długoterminowego zaciągniętego w Banku PEKAO S.A.</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w roku 2010 – kwota 600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spłata rat pożyczki inwestycyjnej na realizację odwodnienia drogi Kalety-Miotek zaciągniętej w WFOŚiGW w Katowicach w dwóch transzach w latach 2016-2017 – kwota 154</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wykup obligacji komunalnych na spłatę wcześniej zaciągniętych kredytów i pożyczek wyemitowanych w roku 2015 – kwota 1</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400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zł.</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Prognoza kwoty długu i spłat zobowiązań</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Na planowaną łączną kwotę długu na koniec 2019 roku (17</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616 099 zł) składają się następujące pozycje:</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kredyt długoterminowy zaciągnięty w Banku PEKAO S.A. w roku 2010. Pozostała do spłaty kwota to 600 000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obligacje komunalne wyemitowane w roku 2015. Pozostała do wykupu kwota to 14</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555 000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zaciągnięta w dwóch transzach pożyczka inwestycyjna w WFOŚiGW w Katowicach na realizację budowy odwodnienia drogi powiatowej 3248S Kalety – Miotek. Pozostała, planowana do spłaty kwota to 461 099 zł;</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obligacje komunalne planowane do wyemitowania w roku 2019. Pozostała do wykupu kwota to 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000 000 zł (pierwsza transza).</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Integralną i jedną z najważniejszych składowych każdej wieloletniej prognozy finansowej stanowi wyliczenie dwóch podstawowych, ustawowych wskaźników, które decydują o możliwościach uchwalenia, zarówno prognozy jak również budżetu na rok następny. Chodzi tu mianowicie</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o wskaźniki określone w art. 242 i 243 ustawy o finansach publicznych pokazane w sekcjach 8 i 9 załącznika nr 1.</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Relacja z art. 242 uofp, stanowiąca różnicę pomiędzy dochodami a wydatkami bieżącymi, zawsze przyjmuje wartości dodatnie co oznacza jej spełnienie w każdym roku objętym prognozą. Różnice te są na tyle wysokie, że powodują, iż budżet posiada rezerwę na wypadek wystąpienia nieprzewidzianych okoliczności w postaci np. przeznaczenia wydatków majątkowych na realizację wydatków bieżących czy też dodatkowego finansowania wydatków bieżących przychodami. Podobnie dla całego okresu prognozy spełniona jest też relacja z art. 243 uofp określająca indywidualny wskaźnik zadłużenia, przyjmując do obliczeń zarówno plan na koniec III kwartału roku bieżącego, jak też przewidywane wykonanie tegoż roku. Planowany wskaźnik długu jest niższy od wskaźnika dopuszczalnej spłaty. Ważne w kontekście uzyskania pożądanych relacji jest przeznaczanie części dochodów bieżących na realizację zadań inwestycyjnych a także konsolidacja zadłużenia, która miała miejsce w roku 2015.</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Wykaz przedsięwzięć realizowanych w latach 2019 – 2022 </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Wykaz przedsięwzięć, stanowiący załącznik nr 2 do uchwały w sprawie Wieloletniej Prognozy Finansowej Powiatu Tarnogórskiego, sporządzono do roku 2022 ponieważ co do zasady wieloletnia prognoza finansowa obejmuje rok bazowy i kolejne trzy lata. W rzeczywistości Powiatu Tarnogórskiego w roku 2022 nie planujemy przedsięwzięć, a ostatnie planowane zadania tj. „Powiatowa Akademia Sukcesu Ucznia Szkoły Zawodowej” oraz „Kursy ICT i języków obcych dla mieszkańców Powiatu Tarnogórskiego” kończą się w roku 2021. Wykaz obejmuje przedsięwzięcia, dla których umowy zostały już podpisane, oraz te dla których Powiat planuje aplikować o środki.</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Nakłady na wszystkie przedsięwzięcia ujęte w wykazie obejmują wydatki łączne finansowane ze źródeł opisanych w zawartych umowach (środki pomocowe w postaci środków strukturalnych i dotacji z budżetu państwa, ewentualnie dochody własne z budżetu powiatowego traktowane jako udział).  Niektóre przedsięwzięcia kończące się w roku 2019 są kontynuacją zadań dwu a nawet trzyletnich. Umieszczono je w wykazie przedsięwzięć oraz wieloletniej prognozie ze względu na zachowanie ciągłości w procedurach budżetowania.</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wierszu 1.1 poświęconemu projektom i zadaniom związanym z programami realizowanymi</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z udziałem środków pochodzących z budżetu Unii Europejskiej, a także z innych źródeł zagranicznych nie podlegających zwrotowi, po stronie wydatków bieżących uwzględniono zadania wieloletnie realizowane w oświacie i pomocy społecznej. Podmiotami realizującymi są Starostwo Powiatowe, jednostki oświatowe oraz Powiatowe Centrum Pomocy Rodzinie. Ilościowo dominują tu projekty o łącznej wartości poniżej 1,0 mln zł związane często z odbywaniem praktyk zagranicznych w krajach wymiany a także rozwijaniem kompetencji poprzez dydaktyczne zajęcia wyrównawcze oparte na metodzie eksperymentu. Dwa projekty „miękkie” tj. „Powiatowa Akademia Sukcesu Ucznia Szkoły Zawodowej” oraz „Powiatowe Centrum Usług Społecznych” związane są z zadaniami infrastrukturalnymi w ramach Zintegrowanych Inwestycji Terytorialnych.</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Choć zasadnicze wydatki na realizację zadań majątkowych w ramach Zintegrowanych Inwestycji Terytorialnych poniesione zostały w latach 2017-2018 to nadal planowane są w tym obszarze do realizacji trzy przedsięwzięcia w latach 2019-2020. Przy realizacji tych zadań dominują środki pozyskane z zewnątrz. Zestawienie zaangażowania środków własnych oraz planowanych do pozyskania z zewnątrz na zadania inwestycyjne prezentuje poniższa tabela nr 1:</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2"/>
          <w:u w:val="none" w:color="000000"/>
          <w:vertAlign w:val="baseline"/>
        </w:rPr>
        <w:t>Tabela nr 1 </w:t>
      </w:r>
      <w:r>
        <w:rPr>
          <w:rStyle w:val="Hyperlink"/>
          <w:rFonts w:ascii="Times New Roman" w:eastAsia="Times New Roman" w:hAnsi="Times New Roman" w:cs="Times New Roman"/>
          <w:b w:val="0"/>
          <w:i w:val="0"/>
          <w:caps w:val="0"/>
          <w:strike w:val="0"/>
          <w:color w:val="000000"/>
          <w:sz w:val="22"/>
          <w:u w:val="none" w:color="000000"/>
          <w:vertAlign w:val="baseline"/>
        </w:rPr>
        <w:t>Zestawienie zaangażowania środków własnych oraz planowanych do pozyskania z zewnątrz na wieloletnie zadania inwestycyjne realizowane z udziałem środków pochodzących z budżetu Unii Europejskiej a także innych źródeł zagranicznych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306"/>
        <w:gridCol w:w="2269"/>
        <w:gridCol w:w="1735"/>
        <w:gridCol w:w="19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Nazwa programu</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Łączne nakłady</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Rok 2019</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Rok 2020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1.Termomodernizacja budynku DPS „Przyjaźń” w Tarnowskich Górach</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3</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444 933</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1</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703 709</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1</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703 709</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środki zewnętrzne</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2</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566 166</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1</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283 083</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1</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283 083</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wkład własny</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878 767</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420 626</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420 626</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2.Termomodernizacja budynku szkoły SOSW w Tarnowskich Górach</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2</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424 857</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2</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394 967</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środki zewnętrzne</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1</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318 271</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1</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318 271</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wkład własny</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1</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106 586</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1</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076 696</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 xml:space="preserve">3.Termomodernizacja budynku szkoły Zespołu Szkół Technicznych i Ogólnokształcących w Tarnowskich Górach, ul. Sienkiewicza 23  </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3</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350</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3</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300</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środki zewnętrzne</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2</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805</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2</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805</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wkład własny</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5 45</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495</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000</w:t>
            </w:r>
          </w:p>
        </w:tc>
      </w:tr>
    </w:tbl>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Pewne wątpliwości może budzić struktura finansowania zadania termomodernizacji budynku SOSW w Tarnowskich Górach gdzie Powiat pokrywa w roku 2019 prawie 45% całkowitych kosztów. Jest to jednak związane z rozstrzygnięciem procedury przetargowej i znacznie wyższymi kosztami niż były zakładane. Aby realizacja zadania przebiegała zgodnie z harmonogramem Powiat planuje zaangażować środki własne. Jednocześnie zwrócono się do instytucji wdrażającej o zwiększenie dotacji. Z uzyskanych informacji wynika, że jest to wysoce prawdopodobne. Jeżeli taka sytuacja będzie mieć miejsce stosowne zmiany do budżetu zostaną wprowadzone w 2019 roku.</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Powiat Tarnogórski w okresie objętym prognozą nie przewiduje realizacji projektów lub zadań związanych z umowami partnerstwa publiczno – prywatnego (wiersz 1.2).</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Pozostałe programy, projekty lub zadania określone w wierszu 1.3 obejmują tylko obszar majątkowy. Realizowane zadania dotyczą infrastruktury drogowej oraz ochrony zdrowia. Także dla tych inwestycji Powiat planuje pozyskać środki zewnętrzne, zarówno z gmin jak też z budżetu państwa. Obrazuje to poniższa tabela nr 2. Dwa zadania ze sfery bieżącej polegające na utrzymaniu trwałości projektów w ochronie środowiska i informatyce zakończyły się w roku 2018.</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2"/>
          <w:u w:val="none" w:color="000000"/>
          <w:vertAlign w:val="baseline"/>
        </w:rPr>
        <w:t>Tabela nr 2 </w:t>
      </w:r>
      <w:r>
        <w:rPr>
          <w:rStyle w:val="Hyperlink"/>
          <w:rFonts w:ascii="Times New Roman" w:eastAsia="Times New Roman" w:hAnsi="Times New Roman" w:cs="Times New Roman"/>
          <w:b w:val="0"/>
          <w:i w:val="0"/>
          <w:caps w:val="0"/>
          <w:strike w:val="0"/>
          <w:color w:val="000000"/>
          <w:sz w:val="22"/>
          <w:u w:val="none" w:color="000000"/>
          <w:vertAlign w:val="baseline"/>
        </w:rPr>
        <w:t xml:space="preserve">Zestawienie zaangażowania środków własnych oraz planowanych do pozyskania z zewnątrz na pozostałe wieloletnie zadania inwestycyjne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306"/>
        <w:gridCol w:w="2269"/>
        <w:gridCol w:w="1735"/>
        <w:gridCol w:w="19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Nazwa programu</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Łączne nakłady</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Rok 2019</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Rok 2020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1.Adaptacja byłej kuchni budynku WSP S.A. na potrzeby bloku operacyjnego i centralnej sterylizatorni</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9</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000 000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4</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250 000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4</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750 000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środki zewnętrzne</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4</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250 000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2</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000 000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2</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250 000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wkład własny</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4</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750 000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2</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250 000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2</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500 000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2.Przebudowa ulicy Powstańców Śląskich w Tarnowskich Górach</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5</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600 000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2</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800 000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2</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800</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środki zewnętrzne</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1</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400 000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1</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400 000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wkład własny</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4</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200 000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1</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400 000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2</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800 000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 xml:space="preserve">3.Rozbudowa drogi powiatowej 3200S na odcinku od DK 78 do ulicy Mickiewicza w m. Ossy Gmina Ożarowice </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7</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600 000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5</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851 000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0"/>
                <w:u w:val="none" w:color="000000"/>
                <w:vertAlign w:val="baseline"/>
              </w:rPr>
              <w:t>1</w:t>
            </w:r>
            <w:r>
              <w:rPr>
                <w:rStyle w:val="Hyperlink"/>
                <w:rFonts w:ascii="Times New Roman" w:eastAsia="Times New Roman" w:hAnsi="Times New Roman" w:cs="Times New Roman"/>
                <w:b/>
                <w:i w:val="0"/>
                <w:caps w:val="0"/>
                <w:strike w:val="0"/>
                <w:color w:val="000000"/>
                <w:sz w:val="20"/>
                <w:u w:val="none" w:color="000000"/>
                <w:vertAlign w:val="baseline"/>
              </w:rPr>
              <w:t> </w:t>
            </w:r>
            <w:r>
              <w:rPr>
                <w:rStyle w:val="Hyperlink"/>
                <w:rFonts w:ascii="Times New Roman" w:eastAsia="Times New Roman" w:hAnsi="Times New Roman" w:cs="Times New Roman"/>
                <w:b/>
                <w:i w:val="0"/>
                <w:caps w:val="0"/>
                <w:strike w:val="0"/>
                <w:color w:val="000000"/>
                <w:sz w:val="20"/>
                <w:u w:val="none" w:color="000000"/>
                <w:vertAlign w:val="baseline"/>
              </w:rPr>
              <w:t>749 000</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środki zewnętrzne</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3</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525 500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3</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525 500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t>
            </w:r>
          </w:p>
        </w:tc>
      </w:tr>
      <w:tr>
        <w:tblPrEx>
          <w:tblW w:w="5000" w:type="pct"/>
          <w:tblLayout w:type="fixed"/>
          <w:tblCellMar>
            <w:left w:w="108" w:type="dxa"/>
            <w:right w:w="108" w:type="dxa"/>
          </w:tblCellMar>
        </w:tblPrEx>
        <w:trPr>
          <w:trHeight w:hRule="auto" w:val="0"/>
        </w:trPr>
        <w:tc>
          <w:tcPr>
            <w:tcW w:w="3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wkład własny</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4</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074 500</w:t>
            </w:r>
          </w:p>
        </w:tc>
        <w:tc>
          <w:tcPr>
            <w:tcW w:w="15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2</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325 500</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0"/>
                <w:u w:val="none" w:color="000000"/>
                <w:vertAlign w:val="baseline"/>
              </w:rPr>
              <w:t>1</w:t>
            </w:r>
            <w:r>
              <w:rPr>
                <w:rStyle w:val="Hyperlink"/>
                <w:rFonts w:ascii="Times New Roman" w:eastAsia="Times New Roman" w:hAnsi="Times New Roman" w:cs="Times New Roman"/>
                <w:b w:val="0"/>
                <w:i w:val="0"/>
                <w:caps w:val="0"/>
                <w:strike w:val="0"/>
                <w:color w:val="000000"/>
                <w:sz w:val="20"/>
                <w:u w:val="none" w:color="000000"/>
                <w:vertAlign w:val="baseline"/>
              </w:rPr>
              <w:t> </w:t>
            </w:r>
            <w:r>
              <w:rPr>
                <w:rStyle w:val="Hyperlink"/>
                <w:rFonts w:ascii="Times New Roman" w:eastAsia="Times New Roman" w:hAnsi="Times New Roman" w:cs="Times New Roman"/>
                <w:b w:val="0"/>
                <w:i w:val="0"/>
                <w:caps w:val="0"/>
                <w:strike w:val="0"/>
                <w:color w:val="000000"/>
                <w:sz w:val="20"/>
                <w:u w:val="none" w:color="000000"/>
                <w:vertAlign w:val="baseline"/>
              </w:rPr>
              <w:t>749 000</w:t>
            </w:r>
          </w:p>
        </w:tc>
      </w:tr>
    </w:tbl>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caps w:val="0"/>
          <w:strike w:val="0"/>
          <w:color w:val="000000"/>
          <w:sz w:val="22"/>
          <w:u w:val="none" w:color="000000"/>
          <w:vertAlign w:val="baseline"/>
        </w:rPr>
        <w:t>Podsumowanie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Celem wieloletniej prognozy finansowej, sporządzonej realistycznie i zgodnie ze stanem faktycznym, jest dostarczenie informacji o sytuacji budżetu na przestrzeni kilku najbliższych lat oraz, na tej podstawie, wspomaganie procesu zarządzania finansami jednostki. Wieloletnia prognoza finansowa jest wielopłaszczyznowym źródłem informacji, jednakże najważniejszą kwestię stanowi analiza wskaźników, które pozwalają na ocenę zdolności kredytowej jednostki a przede wszystkim możliwości przyjmowania budżetów na kolejne lata. Chodzi tu mianowicie o wskaźniki określone w art. 242 i 243 ustawy o finansach publicznych. Wieloletnia prognoza dla Powiatu Tarnogórskiego spełnia wymagane relacje zadłużeniowe, o czym wspomniano w objaśnieniach do prognozy kwoty długu i spłat zobowiązań.</w:t>
      </w:r>
    </w:p>
    <w:sectPr>
      <w:footerReference w:type="default" r:id="rId8"/>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F1186559-A593-4F60-A1E9-2F8ACD09C3B1.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F1186559-A593-4F60-A1E9-2F8ACD09C3B1.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F1186559-A593-4F60-A1E9-2F8ACD09C3B1.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F1186559-A593-4F60-A1E9-2F8ACD09C3B1.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2018r. poz. 1000, poz. 62, poz. 1366, poz. 1693, poz. 1669</w:t>
      </w:r>
    </w:p>
  </w:footnote>
  <w:footnote w:id="1">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2018r. poz. 1000, poz. 1349, poz. 1432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Powiatu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II/33/2018 z dnia 18 grudnia 2018 r.</dc:title>
  <dc:subject>w sprawie Wieloletniej Prognozy Finansowej Powiatu Tarnogórskiego na lata 2019^- 2028</dc:subject>
  <dc:creator>nr367</dc:creator>
  <cp:lastModifiedBy>nr367</cp:lastModifiedBy>
  <cp:revision>1</cp:revision>
  <dcterms:created xsi:type="dcterms:W3CDTF">2018-12-20T10:28:52Z</dcterms:created>
  <dcterms:modified xsi:type="dcterms:W3CDTF">2018-12-20T10:28:52Z</dcterms:modified>
  <cp:category>Akt prawny</cp:category>
</cp:coreProperties>
</file>