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3B565D">
      <w:pPr>
        <w:jc w:val="center"/>
        <w:rPr>
          <w:b/>
          <w:caps/>
        </w:rPr>
      </w:pPr>
      <w:bookmarkStart w:id="0" w:name="_GoBack"/>
      <w:bookmarkEnd w:id="0"/>
      <w:r>
        <w:rPr>
          <w:b/>
          <w:caps/>
        </w:rPr>
        <w:t>Uchwała Nr XV/156/2019</w:t>
      </w:r>
      <w:r>
        <w:rPr>
          <w:b/>
          <w:caps/>
        </w:rPr>
        <w:br/>
        <w:t>Rady Powiatu Tarnogórskiego</w:t>
      </w:r>
    </w:p>
    <w:p w:rsidR="00A77B3E" w:rsidRDefault="003B565D">
      <w:pPr>
        <w:spacing w:before="280" w:after="280"/>
        <w:jc w:val="center"/>
        <w:rPr>
          <w:b/>
          <w:caps/>
        </w:rPr>
      </w:pPr>
      <w:r>
        <w:t>z dnia 17 grudnia 2019 r.</w:t>
      </w:r>
    </w:p>
    <w:p w:rsidR="00A77B3E" w:rsidRDefault="003B565D">
      <w:pPr>
        <w:keepNext/>
        <w:spacing w:after="480"/>
        <w:jc w:val="center"/>
      </w:pPr>
      <w:r>
        <w:rPr>
          <w:b/>
        </w:rPr>
        <w:t>w sprawie Wieloletniej Prognozy Finansowej Powiatu Tarnogórskiego na lata 2020-2028</w:t>
      </w:r>
    </w:p>
    <w:p w:rsidR="00A77B3E" w:rsidRDefault="003B565D">
      <w:pPr>
        <w:keepLines/>
        <w:spacing w:before="120" w:after="120"/>
        <w:ind w:firstLine="227"/>
        <w:rPr>
          <w:color w:val="000000"/>
          <w:u w:color="000000"/>
        </w:rPr>
      </w:pPr>
      <w:r>
        <w:t>Na podstawie art. 226, art. 227, art. 228, art. 229, art. 230, art. 242 i art. 243 ustawy z </w:t>
      </w:r>
      <w:r>
        <w:t>dnia 27 sierpnia 2009 roku o finansach publicznych (tekst jednolity: Dz. U. z 2019r. poz. 869 z późn. zm.</w:t>
      </w:r>
      <w:r>
        <w:rPr>
          <w:rStyle w:val="Odwoanieprzypisudolnego"/>
        </w:rPr>
        <w:footnoteReference w:id="1"/>
      </w:r>
      <w:r>
        <w:rPr>
          <w:vertAlign w:val="superscript"/>
        </w:rPr>
        <w:t>)</w:t>
      </w:r>
      <w:r>
        <w:rPr>
          <w:color w:val="000000"/>
          <w:u w:color="000000"/>
        </w:rPr>
        <w:t>), art. 12 pkt 4 ustawy z dnia 5 czerwca 1998 roku o samorządzie powiatowym (tekst jednolity: Dz. U. z 2019r. poz. 511 ze zm.</w:t>
      </w:r>
      <w:r>
        <w:rPr>
          <w:rStyle w:val="Odwoanieprzypisudolnego"/>
        </w:rPr>
        <w:footnoteReference w:id="2"/>
      </w:r>
      <w:r>
        <w:rPr>
          <w:vertAlign w:val="superscript"/>
        </w:rPr>
        <w:t>)</w:t>
      </w:r>
      <w:r>
        <w:rPr>
          <w:color w:val="000000"/>
          <w:u w:color="000000"/>
        </w:rPr>
        <w:t xml:space="preserve">) oraz Rozporządzenia </w:t>
      </w:r>
      <w:r>
        <w:rPr>
          <w:color w:val="000000"/>
          <w:u w:color="000000"/>
        </w:rPr>
        <w:t>Ministra Finansów z dnia 10 stycznia 2013 roku w sprawie wieloletniej prognozy finansowej jednostki samorządu terytorialnego (tekst jednolity: Dz. U. z 2015r. poz. 92 z późn. zm.</w:t>
      </w:r>
      <w:r>
        <w:rPr>
          <w:rStyle w:val="Odwoanieprzypisudolnego"/>
        </w:rPr>
        <w:footnoteReference w:id="3"/>
      </w:r>
      <w:r>
        <w:rPr>
          <w:vertAlign w:val="superscript"/>
        </w:rPr>
        <w:t>)</w:t>
      </w:r>
      <w:r>
        <w:rPr>
          <w:color w:val="000000"/>
          <w:u w:color="000000"/>
        </w:rPr>
        <w:t>)</w:t>
      </w:r>
    </w:p>
    <w:p w:rsidR="00A77B3E" w:rsidRDefault="003B565D">
      <w:pPr>
        <w:spacing w:before="120" w:after="120"/>
        <w:jc w:val="center"/>
        <w:rPr>
          <w:b/>
          <w:color w:val="000000"/>
          <w:u w:color="000000"/>
        </w:rPr>
      </w:pPr>
      <w:r>
        <w:rPr>
          <w:b/>
          <w:color w:val="000000"/>
          <w:u w:color="000000"/>
        </w:rPr>
        <w:t>Rada Powiatu</w:t>
      </w:r>
      <w:r>
        <w:rPr>
          <w:b/>
          <w:color w:val="000000"/>
          <w:u w:color="000000"/>
        </w:rPr>
        <w:br/>
        <w:t>uchwala:</w:t>
      </w:r>
    </w:p>
    <w:p w:rsidR="00A77B3E" w:rsidRDefault="003B565D">
      <w:pPr>
        <w:keepLines/>
        <w:spacing w:before="120" w:after="120"/>
        <w:ind w:firstLine="340"/>
        <w:rPr>
          <w:color w:val="000000"/>
          <w:u w:color="000000"/>
        </w:rPr>
      </w:pPr>
      <w:r>
        <w:rPr>
          <w:b/>
        </w:rPr>
        <w:t>§ 1. </w:t>
      </w:r>
      <w:r>
        <w:rPr>
          <w:color w:val="000000"/>
          <w:u w:color="000000"/>
        </w:rPr>
        <w:t>Uchwala się Wieloletnią Prognozę Finansową Powi</w:t>
      </w:r>
      <w:r>
        <w:rPr>
          <w:color w:val="000000"/>
          <w:u w:color="000000"/>
        </w:rPr>
        <w:t xml:space="preserve">atu Tarnogórskiego na lata 2020–2028 wraz </w:t>
      </w:r>
      <w:r>
        <w:rPr>
          <w:color w:val="000000"/>
          <w:u w:color="000000"/>
        </w:rPr>
        <w:br/>
        <w:t>z prognozą kwoty długu i spłat zobowiązań na lata 2020-2028</w:t>
      </w:r>
      <w:r>
        <w:rPr>
          <w:i/>
          <w:color w:val="000000"/>
          <w:u w:color="000000"/>
        </w:rPr>
        <w:t>,</w:t>
      </w:r>
      <w:r>
        <w:rPr>
          <w:color w:val="000000"/>
          <w:u w:color="000000"/>
        </w:rPr>
        <w:t xml:space="preserve"> zgodnie z załącznikiem nr 1 do niniejszej uchwały. </w:t>
      </w:r>
    </w:p>
    <w:p w:rsidR="00A77B3E" w:rsidRDefault="003B565D">
      <w:pPr>
        <w:keepLines/>
        <w:spacing w:before="120" w:after="120"/>
        <w:ind w:firstLine="340"/>
        <w:rPr>
          <w:color w:val="000000"/>
          <w:u w:color="000000"/>
        </w:rPr>
      </w:pPr>
      <w:r>
        <w:rPr>
          <w:b/>
        </w:rPr>
        <w:t>§ 2. </w:t>
      </w:r>
      <w:r>
        <w:rPr>
          <w:color w:val="000000"/>
          <w:u w:color="000000"/>
        </w:rPr>
        <w:t>Określa się wykaz przedsięwzięć realizowanych w latach 2020-2023</w:t>
      </w:r>
      <w:r>
        <w:rPr>
          <w:i/>
          <w:color w:val="000000"/>
          <w:u w:color="000000"/>
        </w:rPr>
        <w:t>,</w:t>
      </w:r>
      <w:r>
        <w:rPr>
          <w:color w:val="000000"/>
          <w:u w:color="000000"/>
        </w:rPr>
        <w:t xml:space="preserve"> zgodnie z załącznikiem nr 2 </w:t>
      </w:r>
      <w:r>
        <w:rPr>
          <w:color w:val="000000"/>
          <w:u w:color="000000"/>
        </w:rPr>
        <w:t xml:space="preserve">do niniejszej uchwały. </w:t>
      </w:r>
    </w:p>
    <w:p w:rsidR="00A77B3E" w:rsidRDefault="003B565D">
      <w:pPr>
        <w:keepLines/>
        <w:spacing w:before="120" w:after="120"/>
        <w:ind w:firstLine="340"/>
        <w:rPr>
          <w:color w:val="000000"/>
          <w:u w:color="000000"/>
        </w:rPr>
      </w:pPr>
      <w:r>
        <w:rPr>
          <w:b/>
        </w:rPr>
        <w:t>§ 3. </w:t>
      </w:r>
      <w:r>
        <w:rPr>
          <w:color w:val="000000"/>
          <w:u w:color="000000"/>
        </w:rPr>
        <w:t xml:space="preserve">Uchwala się objaśnienia przyjętych wartości do Wieloletniej Prognozy Finansowej Powiatu Tarnogórskiego na lata 2020-2028, zgodnie z załącznikiem nr 3 do niniejszej uchwały. </w:t>
      </w:r>
    </w:p>
    <w:p w:rsidR="00A77B3E" w:rsidRDefault="003B565D">
      <w:pPr>
        <w:keepLines/>
        <w:spacing w:before="120" w:after="120"/>
        <w:ind w:firstLine="340"/>
        <w:rPr>
          <w:color w:val="000000"/>
          <w:u w:color="000000"/>
        </w:rPr>
      </w:pPr>
      <w:r>
        <w:rPr>
          <w:b/>
        </w:rPr>
        <w:t>§ 4. </w:t>
      </w:r>
      <w:r>
        <w:t>1. </w:t>
      </w:r>
      <w:r>
        <w:rPr>
          <w:color w:val="000000"/>
          <w:u w:color="000000"/>
        </w:rPr>
        <w:t>Upoważnia się Zarząd Powiatu do zaciągania zo</w:t>
      </w:r>
      <w:r>
        <w:rPr>
          <w:color w:val="000000"/>
          <w:u w:color="000000"/>
        </w:rPr>
        <w:t xml:space="preserve">bowiązań związanych z realizacją przedsięwzięć, określonych załącznikiem nr 2 do uchwały. </w:t>
      </w:r>
    </w:p>
    <w:p w:rsidR="00A77B3E" w:rsidRDefault="003B565D">
      <w:pPr>
        <w:keepLines/>
        <w:spacing w:before="120" w:after="120"/>
        <w:ind w:firstLine="340"/>
        <w:rPr>
          <w:color w:val="000000"/>
          <w:u w:color="000000"/>
        </w:rPr>
      </w:pPr>
      <w:r>
        <w:t>2. </w:t>
      </w:r>
      <w:r>
        <w:rPr>
          <w:color w:val="000000"/>
          <w:u w:color="000000"/>
        </w:rPr>
        <w:t>Upoważnia się Zarząd Powiatu do zaciągania zobowiązań z tytułu umów których realizacja w roku budżetowym i w latach następnych jest niezbędna do zapewnienia ciągł</w:t>
      </w:r>
      <w:r>
        <w:rPr>
          <w:color w:val="000000"/>
          <w:u w:color="000000"/>
        </w:rPr>
        <w:t>ości działania Powiatu Tarnogórskiego i z których wynikające płatności wykraczają poza rok budżetowy.</w:t>
      </w:r>
    </w:p>
    <w:p w:rsidR="00A77B3E" w:rsidRDefault="003B565D">
      <w:pPr>
        <w:keepLines/>
        <w:spacing w:before="120" w:after="120"/>
        <w:ind w:firstLine="340"/>
        <w:rPr>
          <w:color w:val="000000"/>
          <w:u w:color="000000"/>
        </w:rPr>
      </w:pPr>
      <w:r>
        <w:t>3. </w:t>
      </w:r>
      <w:r>
        <w:rPr>
          <w:color w:val="000000"/>
          <w:u w:color="000000"/>
        </w:rPr>
        <w:t>Upoważnia się Zarząd Powiatu do dokonywania zmian limitów zobowiązań i kwot wydatków na realizację przedsięwzięcia finansowanego z udziałem środków eur</w:t>
      </w:r>
      <w:r>
        <w:rPr>
          <w:color w:val="000000"/>
          <w:u w:color="000000"/>
        </w:rPr>
        <w:t>opejskich albo środków, o których mowa w art. 5 ust.1 pkt 3 ustawy o finansach publicznych, w związku ze zmianami w realizacji tego przedsięwzięcia, o ile zmiany te nie pogorszą wyniku budżetu dla każdego roku objętego wieloletnią prognozą finansową. Upowa</w:t>
      </w:r>
      <w:r>
        <w:rPr>
          <w:color w:val="000000"/>
          <w:u w:color="000000"/>
        </w:rPr>
        <w:t>żnienie to obejmuje także upoważnienie do dokonywania zmian środków przeznaczonych na współfinansowanie realizacji przedsięwzięć, o których mowa w zdaniu pierwszym, w tym wkładu własnego beneficjenta, oraz wynikających z rozstrzygniętych konkursów, o który</w:t>
      </w:r>
      <w:r>
        <w:rPr>
          <w:color w:val="000000"/>
          <w:u w:color="000000"/>
        </w:rPr>
        <w:t>ch mowa w art. 38 ust. 1 pkt 1 ustawy o zasadach realizacji programów.</w:t>
      </w:r>
    </w:p>
    <w:p w:rsidR="00A77B3E" w:rsidRDefault="003B565D">
      <w:pPr>
        <w:keepLines/>
        <w:spacing w:before="120" w:after="120"/>
        <w:ind w:firstLine="340"/>
        <w:rPr>
          <w:color w:val="000000"/>
          <w:u w:color="000000"/>
        </w:rPr>
      </w:pPr>
      <w:r>
        <w:t>4. </w:t>
      </w:r>
      <w:r>
        <w:rPr>
          <w:color w:val="000000"/>
          <w:u w:color="000000"/>
        </w:rPr>
        <w:t>Upoważnia się Zarząd Powiatu do przekazania uprawnień kierownikom jednostek organizacyjnych do zaciągania zobowiązań, o których mowa w ust. 1 i 2.</w:t>
      </w:r>
    </w:p>
    <w:p w:rsidR="00A77B3E" w:rsidRDefault="003B565D">
      <w:pPr>
        <w:keepLines/>
        <w:spacing w:before="120" w:after="120"/>
        <w:ind w:firstLine="340"/>
        <w:rPr>
          <w:color w:val="000000"/>
          <w:u w:color="000000"/>
        </w:rPr>
      </w:pPr>
      <w:r>
        <w:rPr>
          <w:b/>
        </w:rPr>
        <w:t>§ 5. </w:t>
      </w:r>
      <w:r>
        <w:rPr>
          <w:color w:val="000000"/>
          <w:u w:color="000000"/>
        </w:rPr>
        <w:t>Uchyla się uchwałę nr II/33/20</w:t>
      </w:r>
      <w:r>
        <w:rPr>
          <w:color w:val="000000"/>
          <w:u w:color="000000"/>
        </w:rPr>
        <w:t>18 Rady Powiatu Tarnogórskiego z dnia 18 grudnia</w:t>
      </w:r>
      <w:r>
        <w:rPr>
          <w:color w:val="000000"/>
          <w:u w:color="000000"/>
        </w:rPr>
        <w:br/>
        <w:t xml:space="preserve">2018 roku w sprawie Wieloletniej Prognozy Finansowej Powiatu Tarnogórskiego na lata 2019-2028 oraz jej późniejsze zmiany. </w:t>
      </w:r>
    </w:p>
    <w:p w:rsidR="00A77B3E" w:rsidRDefault="003B565D">
      <w:pPr>
        <w:keepLines/>
        <w:spacing w:before="120" w:after="120"/>
        <w:ind w:firstLine="340"/>
        <w:rPr>
          <w:color w:val="000000"/>
          <w:u w:color="000000"/>
        </w:rPr>
      </w:pPr>
      <w:r>
        <w:rPr>
          <w:b/>
        </w:rPr>
        <w:t>§ 6. </w:t>
      </w:r>
      <w:r>
        <w:rPr>
          <w:color w:val="000000"/>
          <w:u w:color="000000"/>
        </w:rPr>
        <w:t xml:space="preserve">Wykonanie uchwały powierza się Zarządowi Powiatu Tarnogórskiego. </w:t>
      </w:r>
    </w:p>
    <w:p w:rsidR="00A77B3E" w:rsidRDefault="003B565D">
      <w:pPr>
        <w:keepNext/>
        <w:keepLines/>
        <w:spacing w:before="120" w:after="120"/>
        <w:ind w:firstLine="340"/>
        <w:rPr>
          <w:color w:val="000000"/>
          <w:u w:color="000000"/>
        </w:rPr>
      </w:pPr>
      <w:r>
        <w:rPr>
          <w:b/>
        </w:rPr>
        <w:lastRenderedPageBreak/>
        <w:t>§ 7. </w:t>
      </w:r>
      <w:r>
        <w:rPr>
          <w:color w:val="000000"/>
          <w:u w:color="000000"/>
        </w:rPr>
        <w:t xml:space="preserve">Uchwała </w:t>
      </w:r>
      <w:r>
        <w:rPr>
          <w:color w:val="000000"/>
          <w:u w:color="000000"/>
        </w:rPr>
        <w:t xml:space="preserve">wchodzi w życie z dniem 1 stycznia 2020 roku i podlega ogłoszeniu w sposób zwyczajowo przyjęty. </w:t>
      </w:r>
    </w:p>
    <w:p w:rsidR="00A77B3E" w:rsidRDefault="003B565D">
      <w:pPr>
        <w:keepNext/>
        <w:keepLines/>
        <w:spacing w:before="120" w:after="120"/>
        <w:ind w:firstLine="340"/>
        <w:rPr>
          <w:color w:val="000000"/>
          <w:u w:color="000000"/>
        </w:rPr>
      </w:pPr>
    </w:p>
    <w:p w:rsidR="00A77B3E" w:rsidRDefault="003B565D">
      <w:pPr>
        <w:keepNext/>
        <w:rPr>
          <w:color w:val="000000"/>
          <w:u w:color="000000"/>
        </w:rPr>
      </w:pPr>
      <w:r>
        <w:rPr>
          <w:color w:val="000000"/>
        </w:rPr>
        <w:t> </w:t>
      </w:r>
    </w:p>
    <w:tbl>
      <w:tblPr>
        <w:tblW w:w="5000" w:type="pct"/>
        <w:tblCellMar>
          <w:left w:w="0" w:type="dxa"/>
          <w:right w:w="0" w:type="dxa"/>
        </w:tblCellMar>
        <w:tblLook w:val="04A0" w:firstRow="1" w:lastRow="0" w:firstColumn="1" w:lastColumn="0" w:noHBand="0" w:noVBand="1"/>
      </w:tblPr>
      <w:tblGrid>
        <w:gridCol w:w="5103"/>
        <w:gridCol w:w="5103"/>
      </w:tblGrid>
      <w:tr w:rsidR="009F111E">
        <w:tc>
          <w:tcPr>
            <w:tcW w:w="2500" w:type="pct"/>
            <w:tcMar>
              <w:top w:w="0" w:type="dxa"/>
              <w:left w:w="0" w:type="dxa"/>
              <w:bottom w:w="0" w:type="dxa"/>
              <w:right w:w="0" w:type="dxa"/>
            </w:tcMar>
          </w:tcPr>
          <w:p w:rsidR="009F111E" w:rsidRDefault="009F111E">
            <w:pPr>
              <w:keepNext/>
              <w:keepLines/>
              <w:jc w:val="left"/>
              <w:rPr>
                <w:color w:val="000000"/>
                <w:szCs w:val="22"/>
              </w:rPr>
            </w:pPr>
          </w:p>
        </w:tc>
        <w:tc>
          <w:tcPr>
            <w:tcW w:w="2500" w:type="pct"/>
            <w:tcMar>
              <w:top w:w="0" w:type="dxa"/>
              <w:left w:w="0" w:type="dxa"/>
              <w:bottom w:w="0" w:type="dxa"/>
              <w:right w:w="0" w:type="dxa"/>
            </w:tcMar>
          </w:tcPr>
          <w:p w:rsidR="009F111E" w:rsidRDefault="003B565D">
            <w:pPr>
              <w:keepNext/>
              <w:keepLines/>
              <w:spacing w:before="560" w:after="560"/>
              <w:ind w:left="1134" w:right="1134"/>
              <w:jc w:val="center"/>
              <w:rPr>
                <w:color w:val="000000"/>
                <w:szCs w:val="22"/>
              </w:rPr>
            </w:pPr>
            <w:r>
              <w:rPr>
                <w:color w:val="000000"/>
                <w:szCs w:val="22"/>
              </w:rPr>
              <w:t>Przewodniczący Rady Powiatu</w:t>
            </w:r>
            <w:r>
              <w:rPr>
                <w:color w:val="000000"/>
                <w:szCs w:val="22"/>
              </w:rPr>
              <w:br/>
            </w:r>
            <w:r>
              <w:rPr>
                <w:color w:val="000000"/>
                <w:szCs w:val="22"/>
              </w:rPr>
              <w:br/>
            </w:r>
            <w:r>
              <w:rPr>
                <w:color w:val="000000"/>
                <w:szCs w:val="22"/>
              </w:rPr>
              <w:br/>
            </w:r>
            <w:r>
              <w:rPr>
                <w:b/>
              </w:rPr>
              <w:t>Przemysław Cichosz</w:t>
            </w:r>
          </w:p>
        </w:tc>
      </w:tr>
    </w:tbl>
    <w:p w:rsidR="00A77B3E" w:rsidRDefault="003B565D">
      <w:pPr>
        <w:keepNext/>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rsidR="00A77B3E" w:rsidRDefault="003B565D">
      <w:pPr>
        <w:keepNext/>
        <w:spacing w:before="280" w:after="280" w:line="360" w:lineRule="auto"/>
        <w:ind w:left="4535"/>
        <w:jc w:val="left"/>
        <w:rPr>
          <w:rStyle w:val="Hipercze"/>
          <w:color w:val="000000"/>
          <w:u w:val="none" w:color="000000"/>
        </w:rPr>
        <w:sectPr w:rsidR="00A77B3E">
          <w:footerReference w:type="default" r:id="rId7"/>
          <w:endnotePr>
            <w:numFmt w:val="decimal"/>
          </w:endnotePr>
          <w:pgSz w:w="11906" w:h="16838"/>
          <w:pgMar w:top="850" w:right="850" w:bottom="1417" w:left="850" w:header="708" w:footer="708" w:gutter="0"/>
          <w:pgNumType w:start="1"/>
          <w:cols w:space="708"/>
          <w:docGrid w:linePitch="360"/>
        </w:sectPr>
      </w:pPr>
      <w:r>
        <w:rPr>
          <w:color w:val="000000"/>
          <w:u w:color="000000"/>
        </w:rPr>
        <w:lastRenderedPageBreak/>
        <w:fldChar w:fldCharType="begin"/>
      </w:r>
      <w:r>
        <w:rPr>
          <w:color w:val="000000"/>
          <w:u w:color="000000"/>
        </w:rPr>
        <w:fldChar w:fldCharType="end"/>
      </w:r>
      <w:r>
        <w:t>Załącznik Nr 1 do uchwały</w:t>
      </w:r>
      <w:r>
        <w:rPr>
          <w:color w:val="000000"/>
          <w:u w:color="000000"/>
        </w:rPr>
        <w:t xml:space="preserve"> Nr XV/156/2019</w:t>
      </w:r>
      <w:r>
        <w:rPr>
          <w:color w:val="000000"/>
          <w:u w:color="000000"/>
        </w:rPr>
        <w:br/>
      </w:r>
      <w:r>
        <w:t>Rady Powiatu Tarnogórskiego</w:t>
      </w:r>
      <w:r>
        <w:rPr>
          <w:color w:val="000000"/>
          <w:u w:color="000000"/>
        </w:rPr>
        <w:br/>
      </w:r>
      <w:r>
        <w:t xml:space="preserve">z dnia 17 </w:t>
      </w:r>
      <w:r>
        <w:t>grudnia 2019 r.</w:t>
      </w:r>
      <w:r>
        <w:rPr>
          <w:color w:val="000000"/>
          <w:u w:color="000000"/>
        </w:rPr>
        <w:br/>
      </w:r>
      <w:hyperlink r:id="rId8" w:history="1">
        <w:r>
          <w:rPr>
            <w:rStyle w:val="Hipercze"/>
            <w:color w:val="000000"/>
            <w:u w:val="none" w:color="000000"/>
          </w:rPr>
          <w:t>Zalacznik1.pdf</w:t>
        </w:r>
      </w:hyperlink>
    </w:p>
    <w:p w:rsidR="00A77B3E" w:rsidRDefault="003B565D">
      <w:pPr>
        <w:keepNext/>
        <w:spacing w:before="280" w:after="280" w:line="360" w:lineRule="auto"/>
        <w:ind w:left="4535"/>
        <w:jc w:val="left"/>
        <w:rPr>
          <w:rStyle w:val="Hipercze"/>
          <w:color w:val="000000"/>
          <w:u w:val="none"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rPr>
          <w:rStyle w:val="Hipercze"/>
          <w:color w:val="000000"/>
          <w:u w:val="none" w:color="000000"/>
        </w:rPr>
        <w:lastRenderedPageBreak/>
        <w:fldChar w:fldCharType="begin"/>
      </w:r>
      <w:r>
        <w:rPr>
          <w:rStyle w:val="Hipercze"/>
          <w:color w:val="000000"/>
          <w:u w:val="none" w:color="000000"/>
        </w:rPr>
        <w:fldChar w:fldCharType="end"/>
      </w:r>
      <w:r>
        <w:t>Załącznik Nr 2 do uchwały</w:t>
      </w:r>
      <w:r>
        <w:rPr>
          <w:rStyle w:val="Hipercze"/>
          <w:color w:val="000000"/>
          <w:u w:val="none" w:color="000000"/>
        </w:rPr>
        <w:t xml:space="preserve"> Nr XV/156/2019</w:t>
      </w:r>
      <w:r>
        <w:rPr>
          <w:rStyle w:val="Hipercze"/>
          <w:color w:val="000000"/>
          <w:u w:val="none" w:color="000000"/>
        </w:rPr>
        <w:br/>
      </w:r>
      <w:r>
        <w:t>Rady Powiatu Tarnogórskiego</w:t>
      </w:r>
      <w:r>
        <w:rPr>
          <w:rStyle w:val="Hipercze"/>
          <w:color w:val="000000"/>
          <w:u w:val="none" w:color="000000"/>
        </w:rPr>
        <w:br/>
      </w:r>
      <w:r>
        <w:t>z dnia 17 grudnia 2019 r.</w:t>
      </w:r>
      <w:r>
        <w:rPr>
          <w:rStyle w:val="Hipercze"/>
          <w:color w:val="000000"/>
          <w:u w:val="none" w:color="000000"/>
        </w:rPr>
        <w:br/>
      </w:r>
      <w:hyperlink r:id="rId10" w:history="1">
        <w:r>
          <w:rPr>
            <w:rStyle w:val="Hipercze"/>
            <w:color w:val="000000"/>
            <w:u w:val="none" w:color="000000"/>
          </w:rPr>
          <w:t>Zalacznik2.pdf</w:t>
        </w:r>
      </w:hyperlink>
    </w:p>
    <w:p w:rsidR="00A77B3E" w:rsidRDefault="003B565D">
      <w:pPr>
        <w:keepNext/>
        <w:spacing w:before="120" w:after="120" w:line="360" w:lineRule="auto"/>
        <w:ind w:left="5559"/>
        <w:jc w:val="left"/>
        <w:rPr>
          <w:rStyle w:val="Hipercze"/>
          <w:color w:val="000000"/>
          <w:u w:val="none" w:color="000000"/>
        </w:rPr>
      </w:pPr>
      <w:r>
        <w:rPr>
          <w:rStyle w:val="Hipercze"/>
          <w:color w:val="000000"/>
          <w:u w:val="none" w:color="000000"/>
        </w:rPr>
        <w:lastRenderedPageBreak/>
        <w:fldChar w:fldCharType="begin"/>
      </w:r>
      <w:r>
        <w:rPr>
          <w:rStyle w:val="Hipercze"/>
          <w:color w:val="000000"/>
          <w:u w:val="none" w:color="000000"/>
        </w:rPr>
        <w:fldChar w:fldCharType="end"/>
      </w:r>
      <w:r>
        <w:rPr>
          <w:rStyle w:val="Hipercze"/>
          <w:color w:val="000000"/>
          <w:u w:val="none" w:color="000000"/>
        </w:rPr>
        <w:t>Załącznik nr 3 do uchwały nr XV/156/2019</w:t>
      </w:r>
      <w:r>
        <w:rPr>
          <w:rStyle w:val="Hipercze"/>
          <w:color w:val="000000"/>
          <w:u w:val="none" w:color="000000"/>
        </w:rPr>
        <w:br/>
        <w:t>Rady Powiatu Tarnogórskiego</w:t>
      </w:r>
      <w:r>
        <w:rPr>
          <w:rStyle w:val="Hipercze"/>
          <w:color w:val="000000"/>
          <w:u w:val="none" w:color="000000"/>
        </w:rPr>
        <w:br/>
        <w:t>z dnia 17 grudnia 2019 r.</w:t>
      </w:r>
    </w:p>
    <w:p w:rsidR="00A77B3E" w:rsidRDefault="003B565D">
      <w:pPr>
        <w:keepNext/>
        <w:spacing w:after="480"/>
        <w:jc w:val="center"/>
        <w:rPr>
          <w:rStyle w:val="Hipercze"/>
          <w:color w:val="000000"/>
          <w:u w:val="none" w:color="000000"/>
        </w:rPr>
      </w:pPr>
      <w:r>
        <w:rPr>
          <w:rStyle w:val="Hipercze"/>
          <w:b/>
          <w:color w:val="000000"/>
          <w:u w:val="none" w:color="000000"/>
        </w:rPr>
        <w:t>Objaśnienia kategorii i wartości przyjętych w Wieloletniej Prognozie Finansowej Powiatu Tarnogórskiego na lata 2020-2028</w:t>
      </w:r>
    </w:p>
    <w:p w:rsidR="00A77B3E" w:rsidRDefault="003B565D">
      <w:pPr>
        <w:spacing w:before="120" w:after="120"/>
        <w:ind w:left="283" w:firstLine="227"/>
        <w:rPr>
          <w:rStyle w:val="Hipercze"/>
          <w:color w:val="000000"/>
          <w:u w:val="none" w:color="000000"/>
        </w:rPr>
      </w:pPr>
      <w:r>
        <w:rPr>
          <w:rStyle w:val="Hipercze"/>
          <w:b/>
          <w:i/>
          <w:color w:val="000000"/>
          <w:u w:val="none" w:color="000000"/>
        </w:rPr>
        <w:t>Ogólna charakterystyka i założenia</w:t>
      </w:r>
    </w:p>
    <w:p w:rsidR="00A77B3E" w:rsidRDefault="003B565D">
      <w:pPr>
        <w:spacing w:before="120" w:after="120"/>
        <w:ind w:left="283" w:firstLine="227"/>
        <w:rPr>
          <w:rStyle w:val="Hipercze"/>
          <w:color w:val="000000"/>
          <w:u w:val="none" w:color="000000"/>
        </w:rPr>
      </w:pPr>
      <w:r>
        <w:rPr>
          <w:rStyle w:val="Hipercze"/>
          <w:color w:val="000000"/>
          <w:u w:val="none" w:color="000000"/>
        </w:rPr>
        <w:t>Wieloletnia Prognoza Finansowa Powiatu Tarnogórskiego obejmuje okres roku budżetowego i kolejne lata aż do roku 2028, kiedy to kończy się wykup ostatniego z zaciągniętych zobowiązań dłużnych tj. obligacji komunalnych wye</w:t>
      </w:r>
      <w:r>
        <w:rPr>
          <w:rStyle w:val="Hipercze"/>
          <w:color w:val="000000"/>
          <w:u w:val="none" w:color="000000"/>
        </w:rPr>
        <w:t>mitowanych w dwóch transzach w 2019 roku.</w:t>
      </w:r>
    </w:p>
    <w:p w:rsidR="00A77B3E" w:rsidRDefault="003B565D">
      <w:pPr>
        <w:spacing w:before="120" w:after="120"/>
        <w:ind w:left="283" w:firstLine="227"/>
        <w:rPr>
          <w:rStyle w:val="Hipercze"/>
          <w:color w:val="000000"/>
          <w:u w:val="none" w:color="000000"/>
        </w:rPr>
      </w:pPr>
      <w:r>
        <w:rPr>
          <w:rStyle w:val="Hipercze"/>
          <w:color w:val="000000"/>
          <w:u w:val="none" w:color="000000"/>
        </w:rPr>
        <w:t>Prognozę sporządzono w oparciu o wskaźniki i parametry otrzymane od dysponentów środków z obszaru finansów publicznych (informacje o wysokości subwencji ogólnej, udziału w podatku od osób fizycznych, kwotach dotacj</w:t>
      </w:r>
      <w:r>
        <w:rPr>
          <w:rStyle w:val="Hipercze"/>
          <w:color w:val="000000"/>
          <w:u w:val="none" w:color="000000"/>
        </w:rPr>
        <w:t>i od Wojewody Śląskiego na zadania własne i zlecone, wytyczne Ministra Finansów dotyczące założeń makroekonomicznych kraju) oraz posiadane informacje co do kształtowania się podstawowych kategorii budżetowych obecnego roku według stanu na koniec październi</w:t>
      </w:r>
      <w:r>
        <w:rPr>
          <w:rStyle w:val="Hipercze"/>
          <w:color w:val="000000"/>
          <w:u w:val="none" w:color="000000"/>
        </w:rPr>
        <w:t>ka 2019 roku.</w:t>
      </w:r>
    </w:p>
    <w:p w:rsidR="00A77B3E" w:rsidRDefault="003B565D">
      <w:pPr>
        <w:spacing w:before="120" w:after="120"/>
        <w:ind w:left="283" w:firstLine="227"/>
        <w:rPr>
          <w:rStyle w:val="Hipercze"/>
          <w:color w:val="000000"/>
          <w:u w:val="none" w:color="000000"/>
        </w:rPr>
      </w:pPr>
      <w:r>
        <w:rPr>
          <w:rStyle w:val="Hipercze"/>
          <w:color w:val="000000"/>
          <w:u w:val="none" w:color="000000"/>
        </w:rPr>
        <w:t xml:space="preserve">Tylko na rok 2020 zaplanowano budżet deficytowy. Źródłem pokrycia deficytu będą przychody z wolnych środków. W pozostałych latach planuje się budżety zrównoważone. Wygenerowane nadwyżki w kolejnych latach planuje się przeznaczyć w całości na </w:t>
      </w:r>
      <w:r>
        <w:rPr>
          <w:rStyle w:val="Hipercze"/>
          <w:color w:val="000000"/>
          <w:u w:val="none" w:color="000000"/>
        </w:rPr>
        <w:t>wykup wyemitowanych obligacji oraz spłatę pożyczki inwestycyjnej. Prognozując wartości ujęte w WPF stosowano zasadę ostrożności chcąc zachować jak najlepszą realistyczność tego narzędzia planowania.</w:t>
      </w:r>
    </w:p>
    <w:p w:rsidR="00A77B3E" w:rsidRDefault="003B565D">
      <w:pPr>
        <w:spacing w:before="120" w:after="120"/>
        <w:ind w:left="283" w:firstLine="227"/>
        <w:rPr>
          <w:rStyle w:val="Hipercze"/>
          <w:color w:val="000000"/>
          <w:u w:val="none" w:color="000000"/>
        </w:rPr>
      </w:pPr>
      <w:r>
        <w:rPr>
          <w:rStyle w:val="Hipercze"/>
          <w:b/>
          <w:i/>
          <w:color w:val="000000"/>
          <w:u w:val="none" w:color="000000"/>
        </w:rPr>
        <w:t>Dochody budżetowe</w:t>
      </w:r>
    </w:p>
    <w:p w:rsidR="00A77B3E" w:rsidRDefault="003B565D">
      <w:pPr>
        <w:spacing w:before="120" w:after="120"/>
        <w:ind w:left="283" w:firstLine="227"/>
        <w:rPr>
          <w:rStyle w:val="Hipercze"/>
          <w:color w:val="000000"/>
          <w:u w:val="none" w:color="000000"/>
        </w:rPr>
      </w:pPr>
      <w:r>
        <w:rPr>
          <w:rStyle w:val="Hipercze"/>
          <w:color w:val="000000"/>
          <w:u w:val="none" w:color="000000"/>
        </w:rPr>
        <w:t>Dochody budżetowe na rok 2020 wyliczono</w:t>
      </w:r>
      <w:r>
        <w:rPr>
          <w:rStyle w:val="Hipercze"/>
          <w:color w:val="000000"/>
          <w:u w:val="none" w:color="000000"/>
        </w:rPr>
        <w:t xml:space="preserve"> na kwotę 192 966 769 zł, w tym:</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dochody bieżące – 170 289 077 zł;</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dochody majątkowe – 22 677 692 zł.</w:t>
      </w:r>
    </w:p>
    <w:p w:rsidR="00A77B3E" w:rsidRDefault="003B565D">
      <w:pPr>
        <w:spacing w:before="120" w:after="120"/>
        <w:ind w:left="283" w:firstLine="227"/>
        <w:rPr>
          <w:rStyle w:val="Hipercze"/>
          <w:color w:val="000000"/>
          <w:u w:val="none" w:color="000000"/>
        </w:rPr>
      </w:pPr>
      <w:r>
        <w:rPr>
          <w:rStyle w:val="Hipercze"/>
          <w:color w:val="000000"/>
          <w:u w:val="none" w:color="000000"/>
        </w:rPr>
        <w:t>Rok 2020 przyjęto jako odniesienie i bazę porównań na lata 2021-2028 prognozy.</w:t>
      </w:r>
    </w:p>
    <w:p w:rsidR="00A77B3E" w:rsidRDefault="003B565D">
      <w:pPr>
        <w:spacing w:before="120" w:after="120"/>
        <w:ind w:left="283" w:firstLine="227"/>
        <w:rPr>
          <w:rStyle w:val="Hipercze"/>
          <w:color w:val="000000"/>
          <w:u w:val="none" w:color="000000"/>
        </w:rPr>
      </w:pPr>
      <w:r>
        <w:rPr>
          <w:rStyle w:val="Hipercze"/>
          <w:color w:val="000000"/>
          <w:u w:val="none" w:color="000000"/>
        </w:rPr>
        <w:t>Wielkość przyjęta w planie dochodów ogółem na 2020 rok jest większa o</w:t>
      </w:r>
      <w:r>
        <w:rPr>
          <w:rStyle w:val="Hipercze"/>
          <w:color w:val="000000"/>
          <w:u w:val="none" w:color="000000"/>
        </w:rPr>
        <w:t>d planu obecnego roku, wg stanu na koniec października 2019 r., o kwotę 13,41 mln zł. Wyższa w roku 2020 jest, zarówno wysokość planowanych dochodów bieżących (o 3,97 mln zł), jak też dochodów majątkowych (9,44 mln zł). Jeżeli chodzi o podstawowe kategorie</w:t>
      </w:r>
      <w:r>
        <w:rPr>
          <w:rStyle w:val="Hipercze"/>
          <w:color w:val="000000"/>
          <w:u w:val="none" w:color="000000"/>
        </w:rPr>
        <w:t xml:space="preserve"> dochodów bieżących to w roku 2020, w stosunku do roku 2019:</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znacząco wyższą wartość przyjmuje część oświatowa subwencji ogólnej;</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porównywalnie kształtują się udziały w podatkach dochodowych;</w:t>
      </w:r>
    </w:p>
    <w:p w:rsidR="00A77B3E" w:rsidRDefault="003B565D">
      <w:pPr>
        <w:keepLines/>
        <w:spacing w:before="120" w:after="120"/>
        <w:ind w:firstLine="340"/>
        <w:rPr>
          <w:rStyle w:val="Hipercze"/>
          <w:color w:val="000000"/>
          <w:u w:val="none" w:color="000000"/>
        </w:rPr>
      </w:pPr>
      <w:r>
        <w:t>3. </w:t>
      </w:r>
      <w:r>
        <w:rPr>
          <w:rStyle w:val="Hipercze"/>
          <w:color w:val="000000"/>
          <w:u w:val="none" w:color="000000"/>
        </w:rPr>
        <w:t>niższą wartość przyjmują środki dotacyjne (od Wojewody,</w:t>
      </w:r>
      <w:r>
        <w:rPr>
          <w:rStyle w:val="Hipercze"/>
          <w:color w:val="000000"/>
          <w:u w:val="none" w:color="000000"/>
        </w:rPr>
        <w:t xml:space="preserve"> z Funduszu Pracy, z gmin, na realizację projektów strukturalnych);</w:t>
      </w:r>
    </w:p>
    <w:p w:rsidR="00A77B3E" w:rsidRDefault="003B565D">
      <w:pPr>
        <w:keepLines/>
        <w:spacing w:before="120" w:after="120"/>
        <w:ind w:firstLine="340"/>
        <w:rPr>
          <w:rStyle w:val="Hipercze"/>
          <w:color w:val="000000"/>
          <w:u w:val="none" w:color="000000"/>
        </w:rPr>
      </w:pPr>
      <w:r>
        <w:t>4. </w:t>
      </w:r>
      <w:r>
        <w:rPr>
          <w:rStyle w:val="Hipercze"/>
          <w:color w:val="000000"/>
          <w:u w:val="none" w:color="000000"/>
        </w:rPr>
        <w:t>niższa jest wartość pozostałych tytułów dochodów (przede wszystkim w następstwie uzyskania w roku 2019 wielu nieplanowanych tytułów).</w:t>
      </w:r>
    </w:p>
    <w:p w:rsidR="00A77B3E" w:rsidRDefault="003B565D">
      <w:pPr>
        <w:spacing w:before="120" w:after="120"/>
        <w:ind w:left="283" w:firstLine="227"/>
        <w:rPr>
          <w:rStyle w:val="Hipercze"/>
          <w:color w:val="000000"/>
          <w:u w:val="none" w:color="000000"/>
        </w:rPr>
      </w:pPr>
      <w:r>
        <w:rPr>
          <w:rStyle w:val="Hipercze"/>
          <w:color w:val="000000"/>
          <w:u w:val="none" w:color="000000"/>
        </w:rPr>
        <w:t>Niższe dochody z dotacji na zadania bieżące w budże</w:t>
      </w:r>
      <w:r>
        <w:rPr>
          <w:rStyle w:val="Hipercze"/>
          <w:color w:val="000000"/>
          <w:u w:val="none" w:color="000000"/>
        </w:rPr>
        <w:t>cie na początku roku 2020, w porównaniu ze stanem na koniec października roku obecnego, nie powinny niepokoić. Obserwowane zachowania dysponentów w większości przypadków polegają na tym, iż plany na początku są nieco niższe. Środki z dotacji od Wojewody zw</w:t>
      </w:r>
      <w:r>
        <w:rPr>
          <w:rStyle w:val="Hipercze"/>
          <w:color w:val="000000"/>
          <w:u w:val="none" w:color="000000"/>
        </w:rPr>
        <w:t>iększane są następnie w ciągu całego roku na podstawie decyzji finansowych. Podobnie w ciągu roku podpisywane mogą być umowy o współfinansowanie (pomoc finansowa) przez gminy zadań powiatowych np. w infrastrukturze drogowej.</w:t>
      </w:r>
    </w:p>
    <w:p w:rsidR="00A77B3E" w:rsidRDefault="003B565D">
      <w:pPr>
        <w:spacing w:before="120" w:after="120"/>
        <w:ind w:left="283" w:firstLine="227"/>
        <w:rPr>
          <w:rStyle w:val="Hipercze"/>
          <w:color w:val="000000"/>
          <w:u w:val="none" w:color="000000"/>
        </w:rPr>
      </w:pPr>
      <w:r>
        <w:rPr>
          <w:rStyle w:val="Hipercze"/>
          <w:color w:val="000000"/>
          <w:u w:val="none" w:color="000000"/>
        </w:rPr>
        <w:t>Mówiąc o podstawowych kategoria</w:t>
      </w:r>
      <w:r>
        <w:rPr>
          <w:rStyle w:val="Hipercze"/>
          <w:color w:val="000000"/>
          <w:u w:val="none" w:color="000000"/>
        </w:rPr>
        <w:t>ch dochodów majątkowych, to w roku 2020 – w stosunku do roku 2019:</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na porównywalnym poziomie kształtuje się planowana sprzedaż majątku;</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znacząco wyższą wartość przyjmują przewidywane wpływy z dotacji.</w:t>
      </w:r>
    </w:p>
    <w:p w:rsidR="00A77B3E" w:rsidRDefault="003B565D">
      <w:pPr>
        <w:spacing w:before="120" w:after="120"/>
        <w:ind w:left="283" w:firstLine="227"/>
        <w:rPr>
          <w:rStyle w:val="Hipercze"/>
          <w:color w:val="000000"/>
          <w:u w:val="none" w:color="000000"/>
        </w:rPr>
      </w:pPr>
      <w:r>
        <w:rPr>
          <w:rStyle w:val="Hipercze"/>
          <w:color w:val="000000"/>
          <w:u w:val="none" w:color="000000"/>
        </w:rPr>
        <w:t>Zasadniczy wpływ na poziom dotacji w roku 2020 ma</w:t>
      </w:r>
      <w:r>
        <w:rPr>
          <w:rStyle w:val="Hipercze"/>
          <w:color w:val="000000"/>
          <w:u w:val="none" w:color="000000"/>
        </w:rPr>
        <w:t>ją dofinansowania w czterech obszarach działalności:</w:t>
      </w:r>
    </w:p>
    <w:p w:rsidR="00A77B3E" w:rsidRDefault="003B565D">
      <w:pPr>
        <w:keepLines/>
        <w:spacing w:before="120" w:after="120"/>
        <w:ind w:firstLine="340"/>
        <w:rPr>
          <w:rStyle w:val="Hipercze"/>
          <w:color w:val="000000"/>
          <w:u w:val="none" w:color="000000"/>
        </w:rPr>
      </w:pPr>
      <w:r>
        <w:lastRenderedPageBreak/>
        <w:t>1. </w:t>
      </w:r>
      <w:r>
        <w:rPr>
          <w:rStyle w:val="Hipercze"/>
          <w:color w:val="000000"/>
          <w:u w:val="none" w:color="000000"/>
        </w:rPr>
        <w:t>infrastrukturze drogowej gdzie Powiat zamierza pozyskać środki z Funduszu Dróg Samorządowych, Nadleśnictwa Świerklaniec, czy też z gmin;</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 xml:space="preserve">ochronie zdrowia w związku z uzyskaniem środków z budżetu </w:t>
      </w:r>
      <w:r>
        <w:rPr>
          <w:rStyle w:val="Hipercze"/>
          <w:color w:val="000000"/>
          <w:u w:val="none" w:color="000000"/>
        </w:rPr>
        <w:t>państwa na adaptację pomieszczeń w WSP S.A. na potrzeby bloku operacyjnego i centralnej sterylizatorni;</w:t>
      </w:r>
    </w:p>
    <w:p w:rsidR="00A77B3E" w:rsidRDefault="003B565D">
      <w:pPr>
        <w:keepLines/>
        <w:spacing w:before="120" w:after="120"/>
        <w:ind w:firstLine="340"/>
        <w:rPr>
          <w:rStyle w:val="Hipercze"/>
          <w:color w:val="000000"/>
          <w:u w:val="none" w:color="000000"/>
        </w:rPr>
      </w:pPr>
      <w:r>
        <w:t>3. </w:t>
      </w:r>
      <w:r>
        <w:rPr>
          <w:rStyle w:val="Hipercze"/>
          <w:color w:val="000000"/>
          <w:u w:val="none" w:color="000000"/>
        </w:rPr>
        <w:t>oświacie w efekcie składania wniosków o środki z funduszy strukturalnych;</w:t>
      </w:r>
    </w:p>
    <w:p w:rsidR="00A77B3E" w:rsidRDefault="003B565D">
      <w:pPr>
        <w:keepLines/>
        <w:spacing w:before="120" w:after="120"/>
        <w:ind w:firstLine="340"/>
        <w:rPr>
          <w:rStyle w:val="Hipercze"/>
          <w:color w:val="000000"/>
          <w:u w:val="none" w:color="000000"/>
        </w:rPr>
      </w:pPr>
      <w:r>
        <w:t>4. </w:t>
      </w:r>
      <w:r>
        <w:rPr>
          <w:rStyle w:val="Hipercze"/>
          <w:color w:val="000000"/>
          <w:u w:val="none" w:color="000000"/>
        </w:rPr>
        <w:t xml:space="preserve">pomocy społecznej w związku z zakładanym dofinansowaniem z Narodowego </w:t>
      </w:r>
      <w:r>
        <w:rPr>
          <w:rStyle w:val="Hipercze"/>
          <w:color w:val="000000"/>
          <w:u w:val="none" w:color="000000"/>
        </w:rPr>
        <w:t>Funduszu Ochrony Środowiska i Gospodarki Wodnej.</w:t>
      </w:r>
    </w:p>
    <w:p w:rsidR="00A77B3E" w:rsidRDefault="003B565D">
      <w:pPr>
        <w:spacing w:before="120" w:after="120"/>
        <w:ind w:left="283" w:firstLine="227"/>
        <w:rPr>
          <w:rStyle w:val="Hipercze"/>
          <w:color w:val="000000"/>
          <w:u w:val="none" w:color="000000"/>
        </w:rPr>
      </w:pPr>
      <w:r>
        <w:rPr>
          <w:rStyle w:val="Hipercze"/>
          <w:color w:val="000000"/>
          <w:u w:val="none" w:color="000000"/>
        </w:rPr>
        <w:t xml:space="preserve">Kwota dochodów ogółem najwyższą wartość przyjmuje dla roku 2020. W latach 2021-2022 notowane są spadki. Natomiast od roku 2023 do końca okresu prognozy następuje niewielki, coroczny wzrost wartości dochodów </w:t>
      </w:r>
      <w:r>
        <w:rPr>
          <w:rStyle w:val="Hipercze"/>
          <w:color w:val="000000"/>
          <w:u w:val="none" w:color="000000"/>
        </w:rPr>
        <w:t>ogółem. Główny wpływ na taką sytuację ma poziom środków uzyskiwanych na finansowanie zadań inwestycyjnych oraz na realizację projektów i programów współfinansowanych środkami unijnymi.  Jeśli chodzi o inwestycje to, z różnych względów, część zadań planowan</w:t>
      </w:r>
      <w:r>
        <w:rPr>
          <w:rStyle w:val="Hipercze"/>
          <w:color w:val="000000"/>
          <w:u w:val="none" w:color="000000"/>
        </w:rPr>
        <w:t>ych do realizacji w roku 2019 przesunięta została na rok 2020. Ponieważ część z nich ma już zagwarantowane dofinansowanie zewnętrzne, z tego powodu w roku 2020 notujemy stosunkowo wysoki poziom dotacji. W następnych latach poziom dotacji majątkowych obniża</w:t>
      </w:r>
      <w:r>
        <w:rPr>
          <w:rStyle w:val="Hipercze"/>
          <w:color w:val="000000"/>
          <w:u w:val="none" w:color="000000"/>
        </w:rPr>
        <w:t xml:space="preserve"> się i kształtuje w przedziale około 7-8 mln zł. Co zaś się tyczy bieżących programów i projektów dofinansowanych środkami unijnymi to wydatki z obecnej perspektywy finansowej mogą być realizowane i rozliczane do końca 2022 roku. Z kolei w latach 2023-2028</w:t>
      </w:r>
      <w:r>
        <w:rPr>
          <w:rStyle w:val="Hipercze"/>
          <w:color w:val="000000"/>
          <w:u w:val="none" w:color="000000"/>
        </w:rPr>
        <w:t>, mimo iż poziom dotacji z segmentu bieżącego jest stosunkowo stabilny, to jednak udział dotacji strukturalnych wyraźnie spada w porównaniu z latami 2020-2022.</w:t>
      </w:r>
    </w:p>
    <w:p w:rsidR="00A77B3E" w:rsidRDefault="003B565D">
      <w:pPr>
        <w:spacing w:before="120" w:after="120"/>
        <w:ind w:left="283" w:firstLine="227"/>
        <w:rPr>
          <w:rStyle w:val="Hipercze"/>
          <w:color w:val="000000"/>
          <w:u w:val="none" w:color="000000"/>
        </w:rPr>
      </w:pPr>
      <w:r>
        <w:rPr>
          <w:rStyle w:val="Hipercze"/>
          <w:color w:val="000000"/>
          <w:u w:val="none" w:color="000000"/>
        </w:rPr>
        <w:t>Najbardziej ogólny podział strony dochodowej uwzględnia tylko dochody bieżące i majątkowe, niemn</w:t>
      </w:r>
      <w:r>
        <w:rPr>
          <w:rStyle w:val="Hipercze"/>
          <w:color w:val="000000"/>
          <w:u w:val="none" w:color="000000"/>
        </w:rPr>
        <w:t>iej do celów analitycznych konieczne jest przedstawienie ich w większej szczegółowości. Poniżej przedstawiono założenia przyjęte przy prognozowaniu poszczególnych tytułów dochodów tworzących powyższe dwie, podstawowe grupy. Starano się nie uwzględniać niep</w:t>
      </w:r>
      <w:r>
        <w:rPr>
          <w:rStyle w:val="Hipercze"/>
          <w:color w:val="000000"/>
          <w:u w:val="none" w:color="000000"/>
        </w:rPr>
        <w:t>ewnych, incydentalnych źródeł i tytułów. I tak w przypadku dochodów bieżących:</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udziały w podatku dochodowym od osób fizycznych (kwota 43,4 mln zł w roku 2020) – zaplanowano w oparciu o znacznie skorygowaną „in minus” (kwota 3,0 mln zł) wartość wskaźnika</w:t>
      </w:r>
      <w:r>
        <w:rPr>
          <w:rStyle w:val="Hipercze"/>
          <w:color w:val="000000"/>
          <w:u w:val="none" w:color="000000"/>
        </w:rPr>
        <w:t xml:space="preserve"> otrzymanego z Ministerstwa Finansów na rok 2020. Powyższa korekta jest rezultatem kierowania się zasadą ostrożności przy planowaniu budżetu. Niepewność co do realizacji tego tytułu w roku 2020 budzą przyjęte w roku obecnym zmiany ustawowe w aspekcie opoda</w:t>
      </w:r>
      <w:r>
        <w:rPr>
          <w:rStyle w:val="Hipercze"/>
          <w:color w:val="000000"/>
          <w:u w:val="none" w:color="000000"/>
        </w:rPr>
        <w:t xml:space="preserve">tkowania obywateli (np. zwolnienie podatników do 26 roku życia, wzrost kosztów uzyskania przychodów, obniżenie podstawowej stawki podatkowej do 17%). Z drugiej jednak strony wzrost płacy minimalnej oraz utrzymujące się na niskim poziomie bezrobocie będzie </w:t>
      </w:r>
      <w:r>
        <w:rPr>
          <w:rStyle w:val="Hipercze"/>
          <w:color w:val="000000"/>
          <w:u w:val="none" w:color="000000"/>
        </w:rPr>
        <w:t>dodatnio wpływać na realizację dochodów. Wskaźnik z roku 2020 przyjęto jako bazę dla kolejnych lat. W całym okresie prognozy założono wzrosty tego tytułu. Ze względu na czynniki omówione powyżej (płaca minimalna oraz poziom bezrobocia) przyrosty tego tytuł</w:t>
      </w:r>
      <w:r>
        <w:rPr>
          <w:rStyle w:val="Hipercze"/>
          <w:color w:val="000000"/>
          <w:u w:val="none" w:color="000000"/>
        </w:rPr>
        <w:t>u są najbardziej znaczące w latach 2021-2025. Przy prognozowaniu tego tytułu w latach następnych wzięto ponadto pod uwagę sytuację gospodarczą w kraju i zagranicą. Także i tutaj występuje pewien dualizm. Wysoki popyt wewnętrzny wynikający z wdrożonych tran</w:t>
      </w:r>
      <w:r>
        <w:rPr>
          <w:rStyle w:val="Hipercze"/>
          <w:color w:val="000000"/>
          <w:u w:val="none" w:color="000000"/>
        </w:rPr>
        <w:t>sferów socjalnych równoważony może być niższym eksportem, w związku z obserwowanym obecnie pogorszeniem koniunktury na światowych rynkach. Ważne w tym kontekście są problemy z zadłużeniem niektórych krajów ze strefy Euro, prawdopodobny Brexit oraz nadal re</w:t>
      </w:r>
      <w:r>
        <w:rPr>
          <w:rStyle w:val="Hipercze"/>
          <w:color w:val="000000"/>
          <w:u w:val="none" w:color="000000"/>
        </w:rPr>
        <w:t>alna groźba wojny handlowej pomiędzy USA, Chinami oraz krajami Unii Europejskiej. Poza planowanym wzrostem płacy minimalnej nie posiadamy wiedzy o innych, przyszłych zmianach w prawie wpływających na wysokość udziału w PIT w kolejnych latach. Mając na wzgl</w:t>
      </w:r>
      <w:r>
        <w:rPr>
          <w:rStyle w:val="Hipercze"/>
          <w:color w:val="000000"/>
          <w:u w:val="none" w:color="000000"/>
        </w:rPr>
        <w:t>ędzie powyższe tendencje przyjętą wartość omawianego tytułu w ostatnim roku prognozy założono na poziomie 47,4 mln zł;</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udziały w podatku dochodowym od osób prawnych – przyjęto w oparciu o wykonania lat ubiegłych oraz prognozę co do kształtowania się syt</w:t>
      </w:r>
      <w:r>
        <w:rPr>
          <w:rStyle w:val="Hipercze"/>
          <w:color w:val="000000"/>
          <w:u w:val="none" w:color="000000"/>
        </w:rPr>
        <w:t>uacji ekonomicznej kraju w przyszłości. W roku 2020 założono kwotę 1,4 mln zł, a w następnych latach jej niewielkie wzrosty, aż do wysokości 1,6 mln zł w 2028 roku;</w:t>
      </w:r>
    </w:p>
    <w:p w:rsidR="00A77B3E" w:rsidRDefault="003B565D">
      <w:pPr>
        <w:keepLines/>
        <w:spacing w:before="120" w:after="120"/>
        <w:ind w:firstLine="340"/>
        <w:rPr>
          <w:rStyle w:val="Hipercze"/>
          <w:color w:val="000000"/>
          <w:u w:val="none" w:color="000000"/>
        </w:rPr>
      </w:pPr>
      <w:r>
        <w:t>3. </w:t>
      </w:r>
      <w:r>
        <w:rPr>
          <w:rStyle w:val="Hipercze"/>
          <w:color w:val="000000"/>
          <w:u w:val="none" w:color="000000"/>
        </w:rPr>
        <w:t>część oświatową subwencji ogólnej stanowiącą główny składnik planowanych dochodów celowo</w:t>
      </w:r>
      <w:r>
        <w:rPr>
          <w:rStyle w:val="Hipercze"/>
          <w:color w:val="000000"/>
          <w:u w:val="none" w:color="000000"/>
        </w:rPr>
        <w:t xml:space="preserve">-parametrycznych Powiatu dla roku 2020 przyjęto biorąc za punkt wyjścia wskaźnik ministerialny otrzymany na tenże rok tj. 78,4 mln zł. Ze względu na wzrosty nauczycielskich pensji, waloryzację pozostałych dodatków (np. dla stażystów, za wychowawstwo) oraz </w:t>
      </w:r>
      <w:r>
        <w:rPr>
          <w:rStyle w:val="Hipercze"/>
          <w:color w:val="000000"/>
          <w:u w:val="none" w:color="000000"/>
        </w:rPr>
        <w:t xml:space="preserve">podwójny nabór w roku 2019 tytuł ten na rok 2020 kształtuje się znacznie powyżej dochodów uzyskanych w latach ubiegłych. Na przyszłe lata prognozy założono niewielkie jego wzrosty wynikające przede wszystkim z prawdopodobnych dalszych podwyżek wynagrodzeń </w:t>
      </w:r>
      <w:r>
        <w:rPr>
          <w:rStyle w:val="Hipercze"/>
          <w:color w:val="000000"/>
          <w:u w:val="none" w:color="000000"/>
        </w:rPr>
        <w:t>dla pedagogów, choć sytuacja demograficzna oraz planowany nabór do szkół sugerowałby nieznaczną tendencję spadkową wysokości subwencji oświatowej. Na koniec okresu prognozy wartość tego tytułu zaplanowano na poziomie 80,0 mln zł;</w:t>
      </w:r>
    </w:p>
    <w:p w:rsidR="00A77B3E" w:rsidRDefault="003B565D">
      <w:pPr>
        <w:keepLines/>
        <w:spacing w:before="120" w:after="120"/>
        <w:ind w:firstLine="340"/>
        <w:rPr>
          <w:rStyle w:val="Hipercze"/>
          <w:color w:val="000000"/>
          <w:u w:val="none" w:color="000000"/>
        </w:rPr>
      </w:pPr>
      <w:r>
        <w:lastRenderedPageBreak/>
        <w:t>4. </w:t>
      </w:r>
      <w:r>
        <w:rPr>
          <w:rStyle w:val="Hipercze"/>
          <w:color w:val="000000"/>
          <w:u w:val="none" w:color="000000"/>
        </w:rPr>
        <w:t>część równoważącą subwe</w:t>
      </w:r>
      <w:r>
        <w:rPr>
          <w:rStyle w:val="Hipercze"/>
          <w:color w:val="000000"/>
          <w:u w:val="none" w:color="000000"/>
        </w:rPr>
        <w:t>ncji ogólnej przyjęto dla roku 2020 w oparciu o poziom wskaźnika jaki Powiat otrzymał z Ministerstwa Finansów. W kolejnych latach prognozy tytuł ten – jako stosunkowo trudny do zaplanowania – założono w wysokości porównywalnej do roku 2020 tj. w przedziale</w:t>
      </w:r>
      <w:r>
        <w:rPr>
          <w:rStyle w:val="Hipercze"/>
          <w:color w:val="000000"/>
          <w:u w:val="none" w:color="000000"/>
        </w:rPr>
        <w:t xml:space="preserve"> 735-760 tys. zł;</w:t>
      </w:r>
    </w:p>
    <w:p w:rsidR="00A77B3E" w:rsidRDefault="003B565D">
      <w:pPr>
        <w:keepLines/>
        <w:spacing w:before="120" w:after="120"/>
        <w:ind w:firstLine="340"/>
        <w:rPr>
          <w:rStyle w:val="Hipercze"/>
          <w:color w:val="000000"/>
          <w:u w:val="none" w:color="000000"/>
        </w:rPr>
      </w:pPr>
      <w:r>
        <w:t>5. </w:t>
      </w:r>
      <w:r>
        <w:rPr>
          <w:rStyle w:val="Hipercze"/>
          <w:color w:val="000000"/>
          <w:u w:val="none" w:color="000000"/>
        </w:rPr>
        <w:t>w odniesieniu zaś do subwencji wyrównawczej w prognozie finansowej nie planowano dochodów z tego tytułu;</w:t>
      </w:r>
    </w:p>
    <w:p w:rsidR="00A77B3E" w:rsidRDefault="003B565D">
      <w:pPr>
        <w:keepLines/>
        <w:spacing w:before="120" w:after="120"/>
        <w:ind w:firstLine="340"/>
        <w:rPr>
          <w:rStyle w:val="Hipercze"/>
          <w:color w:val="000000"/>
          <w:u w:val="none" w:color="000000"/>
        </w:rPr>
      </w:pPr>
      <w:r>
        <w:t>6. </w:t>
      </w:r>
      <w:r>
        <w:rPr>
          <w:rStyle w:val="Hipercze"/>
          <w:color w:val="000000"/>
          <w:u w:val="none" w:color="000000"/>
        </w:rPr>
        <w:t>w grupie dotacji i środków przeznaczonych na zadania bieżące uwzględniono między innymi:</w:t>
      </w:r>
    </w:p>
    <w:p w:rsidR="00A77B3E" w:rsidRDefault="003B565D">
      <w:pPr>
        <w:spacing w:before="120" w:after="120"/>
        <w:ind w:left="340" w:hanging="227"/>
        <w:rPr>
          <w:rStyle w:val="Hipercze"/>
          <w:color w:val="000000"/>
          <w:u w:val="none" w:color="000000"/>
        </w:rPr>
      </w:pPr>
      <w:r>
        <w:t>1) </w:t>
      </w:r>
      <w:r>
        <w:rPr>
          <w:rStyle w:val="Hipercze"/>
          <w:color w:val="000000"/>
          <w:u w:val="none" w:color="000000"/>
        </w:rPr>
        <w:t>dotacje otrzymane z budżetu państwa</w:t>
      </w:r>
      <w:r>
        <w:rPr>
          <w:rStyle w:val="Hipercze"/>
          <w:color w:val="000000"/>
          <w:u w:val="none" w:color="000000"/>
        </w:rPr>
        <w:t xml:space="preserve"> na zadania własne i zlecone – skalkulowano, dla całego okresu, w oparciu o informacje otrzymane ze Śląskiego Urzędu Wojewódzkiego dla roku 2020 (23,9 mln zł). Przy prognozowaniu posłużono się również wykonaniami lat poprzednich. Powyższy tytuł zaplanowano</w:t>
      </w:r>
      <w:r>
        <w:rPr>
          <w:rStyle w:val="Hipercze"/>
          <w:color w:val="000000"/>
          <w:u w:val="none" w:color="000000"/>
        </w:rPr>
        <w:t xml:space="preserve"> w latach 2021-2028 uwzględniając nieznaczne wzrosty roczne (przeciętnie o około 0,5-1%);</w:t>
      </w:r>
    </w:p>
    <w:p w:rsidR="00A77B3E" w:rsidRDefault="003B565D">
      <w:pPr>
        <w:spacing w:before="120" w:after="120"/>
        <w:ind w:left="340" w:hanging="227"/>
        <w:rPr>
          <w:rStyle w:val="Hipercze"/>
          <w:color w:val="000000"/>
          <w:u w:val="none" w:color="000000"/>
        </w:rPr>
      </w:pPr>
      <w:r>
        <w:t>2) </w:t>
      </w:r>
      <w:r>
        <w:rPr>
          <w:rStyle w:val="Hipercze"/>
          <w:color w:val="000000"/>
          <w:u w:val="none" w:color="000000"/>
        </w:rPr>
        <w:t>dotacje otrzymane z innych jednostek w oparciu o zawarte porozumienia np. dotacje z funduszy celowych, z tytułu pomocy finansowej udzielanej pomiędzy jednostkami s</w:t>
      </w:r>
      <w:r>
        <w:rPr>
          <w:rStyle w:val="Hipercze"/>
          <w:color w:val="000000"/>
          <w:u w:val="none" w:color="000000"/>
        </w:rPr>
        <w:t>amorządu terytorialnego oraz w ramach porozumień z gminami – przyjęto uwzględniając wykonania lat ubiegłych, a także podpisane lub przewidywane do podpisania porozumienia. Na rok 2020 przyjęto wartość 0,4 mln zł. W kolejnych latach dochody z tego tytułu os</w:t>
      </w:r>
      <w:r>
        <w:rPr>
          <w:rStyle w:val="Hipercze"/>
          <w:color w:val="000000"/>
          <w:u w:val="none" w:color="000000"/>
        </w:rPr>
        <w:t>cylować będą na podobnym poziomie, w granicach 0,4-0,6 mln zł. Zauważyć należy jednak, że w roku 2020 i w latach następnych nie uwzględniono środków pomocowych z gmin na zadania remontowe w infrastrukturze drogowej. Takowe środki „pojawiają się” w budżetac</w:t>
      </w:r>
      <w:r>
        <w:rPr>
          <w:rStyle w:val="Hipercze"/>
          <w:color w:val="000000"/>
          <w:u w:val="none" w:color="000000"/>
        </w:rPr>
        <w:t>h zazwyczaj w trakcie trwania roku zwiększając planowane dochody i wydatki;</w:t>
      </w:r>
    </w:p>
    <w:p w:rsidR="00A77B3E" w:rsidRDefault="003B565D">
      <w:pPr>
        <w:spacing w:before="120" w:after="120"/>
        <w:ind w:left="340" w:hanging="227"/>
        <w:rPr>
          <w:rStyle w:val="Hipercze"/>
          <w:color w:val="000000"/>
          <w:u w:val="none" w:color="000000"/>
        </w:rPr>
      </w:pPr>
      <w:r>
        <w:t>3) </w:t>
      </w:r>
      <w:r>
        <w:rPr>
          <w:rStyle w:val="Hipercze"/>
          <w:color w:val="000000"/>
          <w:u w:val="none" w:color="000000"/>
        </w:rPr>
        <w:t>środki z Funduszu Pracy otrzymane z przeznaczeniem na sfinansowanie kosztów wynagrodzeń i składek na ubezpieczenia społeczne dla pracowników Powiatowego Urzędu Pracy w Tarnowski</w:t>
      </w:r>
      <w:r>
        <w:rPr>
          <w:rStyle w:val="Hipercze"/>
          <w:color w:val="000000"/>
          <w:u w:val="none" w:color="000000"/>
        </w:rPr>
        <w:t>ch Górach zaplanowano tylko w roku 2020 w kwocie 0,3 mln zł, zgodnie z pojawiającymi się w publikatorach ekonomicznych i prasie samorządowej informacjami. W kolejnych latach prognozy nie zaplanowano dochodów z tego tytułu;</w:t>
      </w:r>
    </w:p>
    <w:p w:rsidR="00A77B3E" w:rsidRDefault="003B565D">
      <w:pPr>
        <w:spacing w:before="120" w:after="120"/>
        <w:ind w:left="340" w:hanging="227"/>
        <w:rPr>
          <w:rStyle w:val="Hipercze"/>
          <w:color w:val="000000"/>
          <w:u w:val="none" w:color="000000"/>
        </w:rPr>
      </w:pPr>
      <w:r>
        <w:t>4) </w:t>
      </w:r>
      <w:r>
        <w:rPr>
          <w:rStyle w:val="Hipercze"/>
          <w:color w:val="000000"/>
          <w:u w:val="none" w:color="000000"/>
        </w:rPr>
        <w:t>dochody otrzymane od instytucj</w:t>
      </w:r>
      <w:r>
        <w:rPr>
          <w:rStyle w:val="Hipercze"/>
          <w:color w:val="000000"/>
          <w:u w:val="none" w:color="000000"/>
        </w:rPr>
        <w:t>i wdrażających na programy i projekty współfinansowane środkami zewnętrznymi skalkulowano mając na względzie porozumienia już zawarte oraz przewidywane do podpisania. Choć w perspektywie unijnej 2014-2020 znacznie większy nacisk położony został na rozwój i</w:t>
      </w:r>
      <w:r>
        <w:rPr>
          <w:rStyle w:val="Hipercze"/>
          <w:color w:val="000000"/>
          <w:u w:val="none" w:color="000000"/>
        </w:rPr>
        <w:t>nfrastrukturalny (np. Zintegrowane Inwestycje Terytorialne) nie zabrakło również środków na tzw. projekty miękkie. Część z nich („Powiatowa Akademia Sukcesu Ucznia Szkoły Zawodowej”, „Powiatowe Centrum Usług Społecznych”) powiązana została z projektami inf</w:t>
      </w:r>
      <w:r>
        <w:rPr>
          <w:rStyle w:val="Hipercze"/>
          <w:color w:val="000000"/>
          <w:u w:val="none" w:color="000000"/>
        </w:rPr>
        <w:t>rastrukturalnymi. Część jednak jest od nich niezależna. Tak więc planowana wartość tego tytułu w roku 2020 wynosi 2,4 mln zł, w roku 2021 – 1,7 mln zł, a w następnych latach waha się w granicach 1,3-1,5 mln zł.</w:t>
      </w:r>
    </w:p>
    <w:p w:rsidR="00A77B3E" w:rsidRDefault="003B565D">
      <w:pPr>
        <w:spacing w:before="120" w:after="120"/>
        <w:ind w:left="624" w:firstLine="227"/>
        <w:rPr>
          <w:rStyle w:val="Hipercze"/>
          <w:color w:val="000000"/>
          <w:u w:val="none" w:color="000000"/>
        </w:rPr>
      </w:pPr>
      <w:r>
        <w:rPr>
          <w:rStyle w:val="Hipercze"/>
          <w:color w:val="000000"/>
          <w:u w:val="none" w:color="000000"/>
        </w:rPr>
        <w:t xml:space="preserve">Łączna wysokość dochodów z tytułów opisanych </w:t>
      </w:r>
      <w:r>
        <w:rPr>
          <w:rStyle w:val="Hipercze"/>
          <w:color w:val="000000"/>
          <w:u w:val="none" w:color="000000"/>
        </w:rPr>
        <w:t xml:space="preserve">w ustępie 6 dla roku 2020 wynosi 26,9 mln zł. Ze względu na niższe dotacje unijne oraz nie planowanie po roku 2020 środków z Funduszu Pracy w roku 2021 obserwujemy spadek tego tytułu do poziomu 26,0 mln zł. Od roku 2022 do końca okresu prognozy odnotowuje </w:t>
      </w:r>
      <w:r>
        <w:rPr>
          <w:rStyle w:val="Hipercze"/>
          <w:color w:val="000000"/>
          <w:u w:val="none" w:color="000000"/>
        </w:rPr>
        <w:t>się stabilizację całej grupy dochodów z nieznaczną tendencją rosnącą, tak aby w roku 2028 osiągnąć wysokość 26,9 mln zł.</w:t>
      </w:r>
    </w:p>
    <w:p w:rsidR="00A77B3E" w:rsidRDefault="003B565D">
      <w:pPr>
        <w:keepLines/>
        <w:spacing w:before="120" w:after="120"/>
        <w:ind w:firstLine="340"/>
        <w:rPr>
          <w:rStyle w:val="Hipercze"/>
          <w:color w:val="000000"/>
          <w:u w:val="none" w:color="000000"/>
        </w:rPr>
      </w:pPr>
      <w:r>
        <w:t>7. </w:t>
      </w:r>
      <w:r>
        <w:rPr>
          <w:rStyle w:val="Hipercze"/>
          <w:color w:val="000000"/>
          <w:u w:val="none" w:color="000000"/>
        </w:rPr>
        <w:t>pozostałe dochody bieżące, nie uwzględnione powyżej, obejmują:</w:t>
      </w:r>
    </w:p>
    <w:p w:rsidR="00A77B3E" w:rsidRDefault="003B565D">
      <w:pPr>
        <w:spacing w:before="120" w:after="120"/>
        <w:ind w:left="340" w:hanging="227"/>
        <w:rPr>
          <w:rStyle w:val="Hipercze"/>
          <w:color w:val="000000"/>
          <w:u w:val="none" w:color="000000"/>
        </w:rPr>
      </w:pPr>
      <w:r>
        <w:t>1) </w:t>
      </w:r>
      <w:r>
        <w:rPr>
          <w:rStyle w:val="Hipercze"/>
          <w:color w:val="000000"/>
          <w:u w:val="none" w:color="000000"/>
        </w:rPr>
        <w:t>wpływy z tytułu opłat (plan na 2020 rok – 4,46 mln zł). Dochody te</w:t>
      </w:r>
      <w:r>
        <w:rPr>
          <w:rStyle w:val="Hipercze"/>
          <w:color w:val="000000"/>
          <w:u w:val="none" w:color="000000"/>
        </w:rPr>
        <w:t xml:space="preserve"> zaplanowano uwzględniając wykonania lat ubiegłych oraz przewidywane wykonanie roku 2019. Choć dochody z tego tytułu charakteryzują się od kilku już lat stosunkowo dużą stabilnością, pomiędzy rokiem 2019 a 2020 notuje się ich spadek (około 150 tys. zł), co</w:t>
      </w:r>
      <w:r>
        <w:rPr>
          <w:rStyle w:val="Hipercze"/>
          <w:color w:val="000000"/>
          <w:u w:val="none" w:color="000000"/>
        </w:rPr>
        <w:t xml:space="preserve"> związane jest, w głównej mierze, z innym podziałem środków z opłat i kar za gospodarcze korzystanie ze środowiska a także brakiem konieczności wymiany tablic rejestracyjnych przy zakupie używanego samochodu. Realizacja pozostałych elementów tego tytułu w </w:t>
      </w:r>
      <w:r>
        <w:rPr>
          <w:rStyle w:val="Hipercze"/>
          <w:color w:val="000000"/>
          <w:u w:val="none" w:color="000000"/>
        </w:rPr>
        <w:t>przedmiocie opłat administracyjnych za wydanie dokumentów komunikacyjnych, za zajęcie pasa jezdni, wpływów z opłat za koncesje i licencje, opłat za trwały zarząd i użytkowanie wieczyste nieruchomości, opłat z tytułu zwrotu kosztów sądowych kształtuje się p</w:t>
      </w:r>
      <w:r>
        <w:rPr>
          <w:rStyle w:val="Hipercze"/>
          <w:color w:val="000000"/>
          <w:u w:val="none" w:color="000000"/>
        </w:rPr>
        <w:t>odobnie jak w latach ubiegłych. Tym też, oprócz informacji z wydziałów merytorycznych, kierowano się prognozując lata przyszłe. Uwzględniono więc coroczne, bardzo nieznaczne, wzrosty tego tytułu a jego wartość na koniec okresu prognozy zaplanowano na pozio</w:t>
      </w:r>
      <w:r>
        <w:rPr>
          <w:rStyle w:val="Hipercze"/>
          <w:color w:val="000000"/>
          <w:u w:val="none" w:color="000000"/>
        </w:rPr>
        <w:t>mie 4,6 mln zł;</w:t>
      </w:r>
    </w:p>
    <w:p w:rsidR="00A77B3E" w:rsidRDefault="003B565D">
      <w:pPr>
        <w:spacing w:before="120" w:after="120"/>
        <w:ind w:left="340" w:hanging="227"/>
        <w:rPr>
          <w:rStyle w:val="Hipercze"/>
          <w:color w:val="000000"/>
          <w:u w:val="none" w:color="000000"/>
        </w:rPr>
      </w:pPr>
      <w:r>
        <w:t>2) </w:t>
      </w:r>
      <w:r>
        <w:rPr>
          <w:rStyle w:val="Hipercze"/>
          <w:color w:val="000000"/>
          <w:u w:val="none" w:color="000000"/>
        </w:rPr>
        <w:t>wpływy z usług (między innymi: od pensjonariuszy w DPS-ach, rozliczenia z tytułu pobytu dzieci w pieczy zastępczej, faktury za media i usługi geodezyjne), wpływy z najmu składników majątkowych, odsetki od nieterminowych wpłat oraz od śro</w:t>
      </w:r>
      <w:r>
        <w:rPr>
          <w:rStyle w:val="Hipercze"/>
          <w:color w:val="000000"/>
          <w:u w:val="none" w:color="000000"/>
        </w:rPr>
        <w:t>dków zgromadzonych na rachunkach bankowych, 5% i 25% dochodów przynależnych powiatowi z tytułu realizacji zadań z zakresu administracji rządowej, zwroty środków z rozliczeń z lat ubiegłych oraz pozostałe nieznaczące wartościowo tytuły. Wielkość tych dochod</w:t>
      </w:r>
      <w:r>
        <w:rPr>
          <w:rStyle w:val="Hipercze"/>
          <w:color w:val="000000"/>
          <w:u w:val="none" w:color="000000"/>
        </w:rPr>
        <w:t xml:space="preserve">ów </w:t>
      </w:r>
      <w:r>
        <w:rPr>
          <w:rStyle w:val="Hipercze"/>
          <w:color w:val="000000"/>
          <w:u w:val="none" w:color="000000"/>
        </w:rPr>
        <w:lastRenderedPageBreak/>
        <w:t>skalkulowano w oparciu o wykonanie roku bieżącego (skorygowane o uzyskane w roku obecnym znaczące wartościowo, acz incydentalne tytuły) oraz o informacje uzyskane z wydziałów merytorycznych w przedmiocie opłat za media, najmy, odpłatności od pensjonariu</w:t>
      </w:r>
      <w:r>
        <w:rPr>
          <w:rStyle w:val="Hipercze"/>
          <w:color w:val="000000"/>
          <w:u w:val="none" w:color="000000"/>
        </w:rPr>
        <w:t xml:space="preserve">szy w DPS-ach. Dla roku 2020 stanowi to wielkość 14,9 mln zł. Rok 2021 przynosi niewielką ujemną korektę (nieco ponad 200 tys. zł) uwzględniającą ewentualne zmiany w prawie geodezyjnym czy zmniejszenie udziałów Powiatu w dochodach skarbu państwa w związku </w:t>
      </w:r>
      <w:r>
        <w:rPr>
          <w:rStyle w:val="Hipercze"/>
          <w:color w:val="000000"/>
          <w:u w:val="none" w:color="000000"/>
        </w:rPr>
        <w:t>z przekształceniem prawa użytkowania wieczystego we własność. Od roku 2022 do końca prognozy dochody kształtują się na podobnym poziomie z tendencją rosnącą. I choć wzrosty w kolejnych latach nie są spektakularne to jednak systematyczne, a wartość omawiany</w:t>
      </w:r>
      <w:r>
        <w:rPr>
          <w:rStyle w:val="Hipercze"/>
          <w:color w:val="000000"/>
          <w:u w:val="none" w:color="000000"/>
        </w:rPr>
        <w:t>ch wpływów założono w 2028 roku na poziomie 15,1 mln zł.</w:t>
      </w:r>
    </w:p>
    <w:p w:rsidR="00A77B3E" w:rsidRDefault="003B565D">
      <w:pPr>
        <w:spacing w:before="120" w:after="120"/>
        <w:ind w:left="624" w:firstLine="227"/>
        <w:rPr>
          <w:rStyle w:val="Hipercze"/>
          <w:color w:val="000000"/>
          <w:u w:val="none" w:color="000000"/>
        </w:rPr>
      </w:pPr>
      <w:r>
        <w:rPr>
          <w:rStyle w:val="Hipercze"/>
          <w:color w:val="000000"/>
          <w:u w:val="none" w:color="000000"/>
        </w:rPr>
        <w:t>W odniesieniu do tytułów majątkowych ich główne składowe przedstawiają się następująco:</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dochody ze sprzedaży majątku – zaplanowano w oparciu o nieznacznie skorygowane informacje uzyskane z Wydział</w:t>
      </w:r>
      <w:r>
        <w:rPr>
          <w:rStyle w:val="Hipercze"/>
          <w:color w:val="000000"/>
          <w:u w:val="none" w:color="000000"/>
        </w:rPr>
        <w:t>u Gospodarki Nieruchomościami (w aspekcie sprzedaży nieruchomości) oraz od pozostałych wydziałów i jednostek organizacyjnych (w aspekcie sprzedaży ruchomych składników majątkowych). Realizacja tego tytułu na przestrzeni ostatnich lat charakteryzuje się duż</w:t>
      </w:r>
      <w:r>
        <w:rPr>
          <w:rStyle w:val="Hipercze"/>
          <w:color w:val="000000"/>
          <w:u w:val="none" w:color="000000"/>
        </w:rPr>
        <w:t>ą losowością i przypadkowością – nie wykazując żadnego, wyraźnego trendu. Trwające obecnie prace nad podniesieniem atrakcyjności niektórych nieruchomości, dają pewne podstawy do twierdzenia, iż część z nich może zostać sprzedana w roku 2020 i w latach nast</w:t>
      </w:r>
      <w:r>
        <w:rPr>
          <w:rStyle w:val="Hipercze"/>
          <w:color w:val="000000"/>
          <w:u w:val="none" w:color="000000"/>
        </w:rPr>
        <w:t>ępnych. Ponieważ jednak ilość potencjalnie atrakcyjnych nieruchomości jest coraz mniejsza planowane dochody z tego tytułu od roku 2021 również wykazują tendencję malejącą. Zatem wartość planu w roku 2020 wynosi 1,1 mln zł a w każdym kolejnym roku jest cora</w:t>
      </w:r>
      <w:r>
        <w:rPr>
          <w:rStyle w:val="Hipercze"/>
          <w:color w:val="000000"/>
          <w:u w:val="none" w:color="000000"/>
        </w:rPr>
        <w:t>z niższa aż do osiągnięcia poziomu 0,4 mln zł w latach 2026-2028;</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dochody z tytułu dotacji oraz środków przeznaczonych na inwestycje – założono w oparciu o podpisane lub planowane do podpisania umowy dotacyjne na zadania inwestycyjne. W roku 2020 wyróżn</w:t>
      </w:r>
      <w:r>
        <w:rPr>
          <w:rStyle w:val="Hipercze"/>
          <w:color w:val="000000"/>
          <w:u w:val="none" w:color="000000"/>
        </w:rPr>
        <w:t>ić można zatem środki z gmin, nadleśnictw oraz Funduszu Dróg Samorządowych na poprawę infrastruktury transportowej, z funduszy strukturalnych na inwestycje w infrastrukturze oświatowej i pomocy społecznej, z budżetu państwa na potrzeby utworzenia bloku ope</w:t>
      </w:r>
      <w:r>
        <w:rPr>
          <w:rStyle w:val="Hipercze"/>
          <w:color w:val="000000"/>
          <w:u w:val="none" w:color="000000"/>
        </w:rPr>
        <w:t>racyjnego w WSP S.A., czy też z Narodowego Funduszu Ochrony Środowiska i Gospodarki Wodnej na zadania związane z ochroną środowiska. Łącznie w przyszłym roku zaplanowano dochody w wysokości 21,6 mln zł. Tak znacząca kwota jest wynikiem kumulacji realizacji</w:t>
      </w:r>
      <w:r>
        <w:rPr>
          <w:rStyle w:val="Hipercze"/>
          <w:color w:val="000000"/>
          <w:u w:val="none" w:color="000000"/>
        </w:rPr>
        <w:t xml:space="preserve"> prac w ramach kilku ważnych przedsięwzięć inwestycyjnych. W kolejnych latach dochody z dotacji inwestycyjnych nie są już tak wysokie. Ich wielkości skalkulowano w oparciu o realizację tego tytułu na przestrzeni ostatnich kilku lat. Wzięto ponadto pod uwag</w:t>
      </w:r>
      <w:r>
        <w:rPr>
          <w:rStyle w:val="Hipercze"/>
          <w:color w:val="000000"/>
          <w:u w:val="none" w:color="000000"/>
        </w:rPr>
        <w:t>ę wykorzystanie szans, które mogą stworzyć aplikacje o środki zewnętrzne. Przyjęto tu poziomy dofinansowania po 1,5-1,9 mln zł z czterech źródeł, a mianowicie: z budżetu państwa, z funduszy celowych, z gmin oraz ze środków strukturalnych, co prognozuje łąc</w:t>
      </w:r>
      <w:r>
        <w:rPr>
          <w:rStyle w:val="Hipercze"/>
          <w:color w:val="000000"/>
          <w:u w:val="none" w:color="000000"/>
        </w:rPr>
        <w:t>znie około 7-8 mln zł rocznie.</w:t>
      </w:r>
    </w:p>
    <w:p w:rsidR="00A77B3E" w:rsidRDefault="003B565D">
      <w:pPr>
        <w:spacing w:before="120" w:after="120"/>
        <w:ind w:left="283" w:firstLine="227"/>
        <w:rPr>
          <w:rStyle w:val="Hipercze"/>
          <w:color w:val="000000"/>
          <w:u w:val="none" w:color="000000"/>
        </w:rPr>
      </w:pPr>
      <w:r>
        <w:rPr>
          <w:rStyle w:val="Hipercze"/>
          <w:color w:val="000000"/>
          <w:u w:val="none" w:color="000000"/>
        </w:rPr>
        <w:t>Wahania w grupie dochodów ogółem, szczególnie zaś w okresie 2020-2022, determinowane są przeważnie zmianami związanymi z obszarem majątkowym. Dotyczy to zarówno dotacji jak też sprzedaży majątku. Do roku 2022 dotacje wykazują</w:t>
      </w:r>
      <w:r>
        <w:rPr>
          <w:rStyle w:val="Hipercze"/>
          <w:color w:val="000000"/>
          <w:u w:val="none" w:color="000000"/>
        </w:rPr>
        <w:t xml:space="preserve"> tendencję malejącą w związku z zakończeniem zadań współfinansowanych środkami zewnętrznymi. Od roku 2023 majątkowe dochody dotacyjne określone zostały szacunkowo w wysokościach porównywalnych dla całego dalszego okresu prognozy. Od tego momentu za wzrost </w:t>
      </w:r>
      <w:r>
        <w:rPr>
          <w:rStyle w:val="Hipercze"/>
          <w:color w:val="000000"/>
          <w:u w:val="none" w:color="000000"/>
        </w:rPr>
        <w:t xml:space="preserve">dochodów ogółem odpowiedzialne są głównie pozycje dochodów bieżących (udziały w podatkach, subwencje, opłaty administracyjne, dotacje na zadania nieinwestycyjne). I pomimo faktu, iż poziomy tychże dochodów kształtują się pomiędzy wartością 169,8–176,4 mln </w:t>
      </w:r>
      <w:r>
        <w:rPr>
          <w:rStyle w:val="Hipercze"/>
          <w:color w:val="000000"/>
          <w:u w:val="none" w:color="000000"/>
        </w:rPr>
        <w:t>zł, to jednak ich prognozowanie jest znacznie łatwiejsze w porównaniu z tytułami majątkowymi, bowiem obszar bieżący układa się zawsze w widoczne tendencje. Z kolei przy prognozowaniu dochodów majątkowych starano się nie opierać budżetów w poszczególnych la</w:t>
      </w:r>
      <w:r>
        <w:rPr>
          <w:rStyle w:val="Hipercze"/>
          <w:color w:val="000000"/>
          <w:u w:val="none" w:color="000000"/>
        </w:rPr>
        <w:t>tach o niepewne i często incydentalne dochody np. o dochody ze sprzedaży majątku. Planowane dochody z tytułu sprzedaży składników majątkowych kształtują się na poziomie 1,1 mln zł w roku 2020 z tendencją malejącą do 0,4 mln zł w roku 2028.</w:t>
      </w:r>
    </w:p>
    <w:p w:rsidR="00A77B3E" w:rsidRDefault="003B565D">
      <w:pPr>
        <w:spacing w:before="120" w:after="120"/>
        <w:ind w:left="283" w:firstLine="227"/>
        <w:rPr>
          <w:rStyle w:val="Hipercze"/>
          <w:color w:val="000000"/>
          <w:u w:val="none" w:color="000000"/>
        </w:rPr>
      </w:pPr>
      <w:r>
        <w:rPr>
          <w:rStyle w:val="Hipercze"/>
          <w:b/>
          <w:i/>
          <w:color w:val="000000"/>
          <w:u w:val="none" w:color="000000"/>
        </w:rPr>
        <w:t>Wydatki budżetow</w:t>
      </w:r>
      <w:r>
        <w:rPr>
          <w:rStyle w:val="Hipercze"/>
          <w:b/>
          <w:i/>
          <w:color w:val="000000"/>
          <w:u w:val="none" w:color="000000"/>
        </w:rPr>
        <w:t>e</w:t>
      </w:r>
    </w:p>
    <w:p w:rsidR="00A77B3E" w:rsidRDefault="003B565D">
      <w:pPr>
        <w:spacing w:before="120" w:after="120"/>
        <w:ind w:left="283" w:firstLine="227"/>
        <w:rPr>
          <w:rStyle w:val="Hipercze"/>
          <w:color w:val="000000"/>
          <w:u w:val="none" w:color="000000"/>
        </w:rPr>
      </w:pPr>
      <w:r>
        <w:rPr>
          <w:rStyle w:val="Hipercze"/>
          <w:color w:val="000000"/>
          <w:u w:val="none" w:color="000000"/>
        </w:rPr>
        <w:t>Wydatki budżetowe na rok 2020 wyliczono na kwotę 202 262 769 zł, w tym:</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wydatki bieżące – 161 841 321 zł;</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wydatki majątkowe – 40 421 448 zł.</w:t>
      </w:r>
    </w:p>
    <w:p w:rsidR="00A77B3E" w:rsidRDefault="003B565D">
      <w:pPr>
        <w:spacing w:before="120" w:after="120"/>
        <w:ind w:left="283" w:firstLine="227"/>
        <w:rPr>
          <w:rStyle w:val="Hipercze"/>
          <w:color w:val="000000"/>
          <w:u w:val="none" w:color="000000"/>
        </w:rPr>
      </w:pPr>
      <w:r>
        <w:rPr>
          <w:rStyle w:val="Hipercze"/>
          <w:color w:val="000000"/>
          <w:u w:val="none" w:color="000000"/>
        </w:rPr>
        <w:t xml:space="preserve">Na wielkość środków przeznaczonych na wydatki budżetowe w największym stopniu wpływają prognozowane </w:t>
      </w:r>
      <w:r>
        <w:rPr>
          <w:rStyle w:val="Hipercze"/>
          <w:color w:val="000000"/>
          <w:u w:val="none" w:color="000000"/>
        </w:rPr>
        <w:t>dochody, uzupełnione (powiększone) przychodami – w roku 2020 tylko z wolnych środków pozostających na rachunku budżetu z rozliczenia działalności kredytobiorczej z lat ubiegłych, pomniejszone o wartość rozchodów – w praktyce gospodarczej Powiatu w całym ok</w:t>
      </w:r>
      <w:r>
        <w:rPr>
          <w:rStyle w:val="Hipercze"/>
          <w:color w:val="000000"/>
          <w:u w:val="none" w:color="000000"/>
        </w:rPr>
        <w:t xml:space="preserve">resie prognozy z tytułu spłaty pożyczki i wykupu obligacji komunalnych. Kształtowanie się wydatków ogółem w poszczególnych latach prognozy </w:t>
      </w:r>
      <w:r>
        <w:rPr>
          <w:rStyle w:val="Hipercze"/>
          <w:color w:val="000000"/>
          <w:u w:val="none" w:color="000000"/>
        </w:rPr>
        <w:lastRenderedPageBreak/>
        <w:t>a także różnice pomiędzy planowanymi kwotami w poszczególnych latach skorelowane są ze stroną dochodową budżetu. Wyda</w:t>
      </w:r>
      <w:r>
        <w:rPr>
          <w:rStyle w:val="Hipercze"/>
          <w:color w:val="000000"/>
          <w:u w:val="none" w:color="000000"/>
        </w:rPr>
        <w:t>tki bieżące w latach 2020-2028 wykazują tendencję rosnącą. Najogólniej rzecz ujmując przyczyną jest, i będzie również w przyszłości, permanentny wzrost kosztów prowadzenia zadań. W wielu przypadkach zupełnie niezależny od działań Zarządu. W przypadku wynag</w:t>
      </w:r>
      <w:r>
        <w:rPr>
          <w:rStyle w:val="Hipercze"/>
          <w:color w:val="000000"/>
          <w:u w:val="none" w:color="000000"/>
        </w:rPr>
        <w:t>rodzeń trzeba mieć na uwadze ustawowe podnoszenie płacy minimalnej, a w przypadku rzeczowych kosztów stałych wzrosty opłat za media, zakup materiałów oraz zakup drobnych, codziennych usług materialnych i niematerialnych. Wydatki majątkowe w latach 2020-202</w:t>
      </w:r>
      <w:r>
        <w:rPr>
          <w:rStyle w:val="Hipercze"/>
          <w:color w:val="000000"/>
          <w:u w:val="none" w:color="000000"/>
        </w:rPr>
        <w:t>2 wykazują tendencję malejącą, co oczywiście powiązane jest ze stroną dochodową. Swoistego rodzaju pik inwestycyjny stanowi poziom wydatków w roku 2020, co po części wynika z kumulacji planowanych nakładów. Warto w tym miejscu podkreślić, iż cześć z przysz</w:t>
      </w:r>
      <w:r>
        <w:rPr>
          <w:rStyle w:val="Hipercze"/>
          <w:color w:val="000000"/>
          <w:u w:val="none" w:color="000000"/>
        </w:rPr>
        <w:t>łorocznych zadań inwestycyjnych ma już zapewnione finansowanie, dla części jednak Powiat dopiero aplikuje o środki. W przypadku negatywnych rozstrzygnięć korekty planu nastąpią już w takcie wykonywania budżetu w 2020 roku. Od roku 2023 poziom wydatków mają</w:t>
      </w:r>
      <w:r>
        <w:rPr>
          <w:rStyle w:val="Hipercze"/>
          <w:color w:val="000000"/>
          <w:u w:val="none" w:color="000000"/>
        </w:rPr>
        <w:t>tkowych, wyraźnie już niższy niż przykładowo w latach 2020-2021, podnosi się jednakże w następnych latach systematycznie w sposób zauważalny.</w:t>
      </w:r>
    </w:p>
    <w:p w:rsidR="00A77B3E" w:rsidRDefault="003B565D">
      <w:pPr>
        <w:spacing w:before="120" w:after="120"/>
        <w:ind w:left="283" w:firstLine="227"/>
        <w:rPr>
          <w:rStyle w:val="Hipercze"/>
          <w:color w:val="000000"/>
          <w:u w:val="none" w:color="000000"/>
        </w:rPr>
      </w:pPr>
      <w:r>
        <w:rPr>
          <w:rStyle w:val="Hipercze"/>
          <w:color w:val="000000"/>
          <w:u w:val="none" w:color="000000"/>
        </w:rPr>
        <w:t>Łączna wartość planu wydatków na rok 2020 jest wyższa o 21,89 mln zł od planu roku 2019, według stanu na koniec pa</w:t>
      </w:r>
      <w:r>
        <w:rPr>
          <w:rStyle w:val="Hipercze"/>
          <w:color w:val="000000"/>
          <w:u w:val="none" w:color="000000"/>
        </w:rPr>
        <w:t>ździernika. W roku 2019 plan wydatków bieżących wynosi 159,71 mln zł, zaś plan na rok 2020 stanowi 161,84 mln zł. Jeśli chodzi o wydatki majątkowe w planie roku 2019 mamy 20,66 mln zł, zaś na rok 2020 przewiduje się 40,42 mln zł. Ponad połowa środków przez</w:t>
      </w:r>
      <w:r>
        <w:rPr>
          <w:rStyle w:val="Hipercze"/>
          <w:color w:val="000000"/>
          <w:u w:val="none" w:color="000000"/>
        </w:rPr>
        <w:t>naczonych na wydatki majątkowe pochodzić ma z dofinansowania zewnętrznego. Działania w tym segmencie nastawione są przede wszystkim na poprawę infrastruktury drogowej, ochronę zdrowia i pomoc społeczną, czy też na oświatę i edukacyjną opiekę wychowawczą. J</w:t>
      </w:r>
      <w:r>
        <w:rPr>
          <w:rStyle w:val="Hipercze"/>
          <w:color w:val="000000"/>
          <w:u w:val="none" w:color="000000"/>
        </w:rPr>
        <w:t>eśli chodzi o wydatki bieżące to w roku 2020, w stosunku do roku 2019 wg stanu na koniec października, notujemy:</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wzrost wydatków na wynagrodzenia i pochodne;</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zmniejszenie wydatków związanych z bieżącym utrzymaniem infrastruktury;</w:t>
      </w:r>
    </w:p>
    <w:p w:rsidR="00A77B3E" w:rsidRDefault="003B565D">
      <w:pPr>
        <w:keepLines/>
        <w:spacing w:before="120" w:after="120"/>
        <w:ind w:firstLine="340"/>
        <w:rPr>
          <w:rStyle w:val="Hipercze"/>
          <w:color w:val="000000"/>
          <w:u w:val="none" w:color="000000"/>
        </w:rPr>
      </w:pPr>
      <w:r>
        <w:t>3. </w:t>
      </w:r>
      <w:r>
        <w:rPr>
          <w:rStyle w:val="Hipercze"/>
          <w:color w:val="000000"/>
          <w:u w:val="none" w:color="000000"/>
        </w:rPr>
        <w:t>wzrost wydatków p</w:t>
      </w:r>
      <w:r>
        <w:rPr>
          <w:rStyle w:val="Hipercze"/>
          <w:color w:val="000000"/>
          <w:u w:val="none" w:color="000000"/>
        </w:rPr>
        <w:t>rzekazywanych w formie dotacji dla innych podmiotów;</w:t>
      </w:r>
    </w:p>
    <w:p w:rsidR="00A77B3E" w:rsidRDefault="003B565D">
      <w:pPr>
        <w:keepLines/>
        <w:spacing w:before="120" w:after="120"/>
        <w:ind w:firstLine="340"/>
        <w:rPr>
          <w:rStyle w:val="Hipercze"/>
          <w:color w:val="000000"/>
          <w:u w:val="none" w:color="000000"/>
        </w:rPr>
      </w:pPr>
      <w:r>
        <w:t>4. </w:t>
      </w:r>
      <w:r>
        <w:rPr>
          <w:rStyle w:val="Hipercze"/>
          <w:color w:val="000000"/>
          <w:u w:val="none" w:color="000000"/>
        </w:rPr>
        <w:t>utrzymanie na podobnym poziomie kosztów obsługi zadłużenia oraz środków przekazywanych na świadczenia na rzecz osób fizycznych (np. rodziny zastępcze, stypendia, diety radnych);</w:t>
      </w:r>
    </w:p>
    <w:p w:rsidR="00A77B3E" w:rsidRDefault="003B565D">
      <w:pPr>
        <w:keepLines/>
        <w:spacing w:before="120" w:after="120"/>
        <w:ind w:firstLine="340"/>
        <w:rPr>
          <w:rStyle w:val="Hipercze"/>
          <w:color w:val="000000"/>
          <w:u w:val="none" w:color="000000"/>
        </w:rPr>
      </w:pPr>
      <w:r>
        <w:t>5. </w:t>
      </w:r>
      <w:r>
        <w:rPr>
          <w:rStyle w:val="Hipercze"/>
          <w:color w:val="000000"/>
          <w:u w:val="none" w:color="000000"/>
        </w:rPr>
        <w:t>zmniejszenie wydatk</w:t>
      </w:r>
      <w:r>
        <w:rPr>
          <w:rStyle w:val="Hipercze"/>
          <w:color w:val="000000"/>
          <w:u w:val="none" w:color="000000"/>
        </w:rPr>
        <w:t>ów na programy realizowane przy współudziale środków unijnych.</w:t>
      </w:r>
    </w:p>
    <w:p w:rsidR="00A77B3E" w:rsidRDefault="003B565D">
      <w:pPr>
        <w:spacing w:before="120" w:after="120"/>
        <w:ind w:left="283" w:firstLine="227"/>
        <w:rPr>
          <w:rStyle w:val="Hipercze"/>
          <w:color w:val="000000"/>
          <w:u w:val="none" w:color="000000"/>
        </w:rPr>
      </w:pPr>
      <w:r>
        <w:rPr>
          <w:rStyle w:val="Hipercze"/>
          <w:color w:val="000000"/>
          <w:u w:val="none" w:color="000000"/>
        </w:rPr>
        <w:t>W grupie wydatków:</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 xml:space="preserve">wynagrodzenia i składki od nich naliczane skalkulowano na rok 2020 w oparciu o skorygowane informacje przedstawione przez służby kadrowe Starostwa i powiatowych jednostek </w:t>
      </w:r>
      <w:r>
        <w:rPr>
          <w:rStyle w:val="Hipercze"/>
          <w:color w:val="000000"/>
          <w:u w:val="none" w:color="000000"/>
        </w:rPr>
        <w:t>organizacyjnych. Wartości dla roku 2020 są znacząco wyższe niż choćby wartość planu roku obecnego wg stanu na koniec października 2019. W latach następnych planuje się dalsze wzrosty wynikające z podwyżek płacy minimalnej, a także spodziewanej presji płaco</w:t>
      </w:r>
      <w:r>
        <w:rPr>
          <w:rStyle w:val="Hipercze"/>
          <w:color w:val="000000"/>
          <w:u w:val="none" w:color="000000"/>
        </w:rPr>
        <w:t>wej ze strony pracowników oraz organizacji ich zrzeszających. Dodatkowo od roku 2021 obowiązywać będą w samorządach pracownicze plany kapitałowe, co nie pozostanie bez wpływu na koszty wynagrodzeń. Pomimo wysokiego zaangażowania środków istnieje pewne ryzy</w:t>
      </w:r>
      <w:r>
        <w:rPr>
          <w:rStyle w:val="Hipercze"/>
          <w:color w:val="000000"/>
          <w:u w:val="none" w:color="000000"/>
        </w:rPr>
        <w:t>ko, iż zaplanowane wartości na wynagrodzenia mogą okazać się niewystarczające, szczególnie w odniesieniu do oświaty i edukacyjnej opieki wychowawczej. Pod koniec przyszłego roku może zaistnieć konieczność zwiększenia planu na tym odcinku;</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wydatki z tytu</w:t>
      </w:r>
      <w:r>
        <w:rPr>
          <w:rStyle w:val="Hipercze"/>
          <w:color w:val="000000"/>
          <w:u w:val="none" w:color="000000"/>
        </w:rPr>
        <w:t>łu poręczeń i gwarancji –  odkąd w roku 2018 wygasło poręczenie udzielone na rzecz Wielospecjalistycznego Szpitala Powiatowego S.A. w Tarnowskich Górach na modernizację cieplną budynków Powiat nie udzielił oraz nie planuje udzielić poręczeń i gwarancji;</w:t>
      </w:r>
    </w:p>
    <w:p w:rsidR="00A77B3E" w:rsidRDefault="003B565D">
      <w:pPr>
        <w:keepLines/>
        <w:spacing w:before="120" w:after="120"/>
        <w:ind w:firstLine="340"/>
        <w:rPr>
          <w:rStyle w:val="Hipercze"/>
          <w:color w:val="000000"/>
          <w:u w:val="none" w:color="000000"/>
        </w:rPr>
      </w:pPr>
      <w:r>
        <w:t>3.</w:t>
      </w:r>
      <w:r>
        <w:t> </w:t>
      </w:r>
      <w:r>
        <w:rPr>
          <w:rStyle w:val="Hipercze"/>
          <w:color w:val="000000"/>
          <w:u w:val="none" w:color="000000"/>
        </w:rPr>
        <w:t xml:space="preserve">wartości w wierszu obsługa długu wynikają z ustalonego przez pożyczkodawców oprocentowania oraz oprocentowania obligacji komunalnych. Uwzględniono także wydatki od możliwego do wykorzystania limitu kredytu w rachunku bieżącym. Kwota planu na przyszły rok </w:t>
      </w:r>
      <w:r>
        <w:rPr>
          <w:rStyle w:val="Hipercze"/>
          <w:color w:val="000000"/>
          <w:u w:val="none" w:color="000000"/>
        </w:rPr>
        <w:t>jest porównywalna do planu na koniec października 2019 roku. Przy prognozowaniu tego tytułu kierowano się zasadą ostrożności co do kształtowania się stóp procentowych w przyszłości. Należy mieć bowiem na uwadze, że od kilku już lat kształtują się one na ba</w:t>
      </w:r>
      <w:r>
        <w:rPr>
          <w:rStyle w:val="Hipercze"/>
          <w:color w:val="000000"/>
          <w:u w:val="none" w:color="000000"/>
        </w:rPr>
        <w:t>rdzo niskim poziomie;</w:t>
      </w:r>
    </w:p>
    <w:p w:rsidR="00A77B3E" w:rsidRDefault="003B565D">
      <w:pPr>
        <w:keepLines/>
        <w:spacing w:before="120" w:after="120"/>
        <w:ind w:firstLine="340"/>
        <w:rPr>
          <w:rStyle w:val="Hipercze"/>
          <w:color w:val="000000"/>
          <w:u w:val="none" w:color="000000"/>
        </w:rPr>
      </w:pPr>
      <w:r>
        <w:lastRenderedPageBreak/>
        <w:t>4. </w:t>
      </w:r>
      <w:r>
        <w:rPr>
          <w:rStyle w:val="Hipercze"/>
          <w:color w:val="000000"/>
          <w:u w:val="none" w:color="000000"/>
        </w:rPr>
        <w:t>wysokość dochodów oraz wydatków na projekty i programy unijne ujęta w sekcji nr 9 pod nazwą „Finansowanie programów, projektów lub zadań realizowanych z udziałem środków, o których mowa w art. 5 ust.1 pkt 2 i pkt 3 ustawy o finansa</w:t>
      </w:r>
      <w:r>
        <w:rPr>
          <w:rStyle w:val="Hipercze"/>
          <w:color w:val="000000"/>
          <w:u w:val="none" w:color="000000"/>
        </w:rPr>
        <w:t xml:space="preserve">ch publicznych” załącznika nr 1 została określona na podstawie umów już podpisanych, ale także umów zaplanowanych do zawarcia. Dla tych zadań procedury naboru są w trakcie, bądź będą przeprowadzane w roku 2020 i w dwóch następnych latach. Informacje te są </w:t>
      </w:r>
      <w:r>
        <w:rPr>
          <w:rStyle w:val="Hipercze"/>
          <w:color w:val="000000"/>
          <w:u w:val="none" w:color="000000"/>
        </w:rPr>
        <w:t>zatem przedstawione do roku 2022, gdyż na moment sporządzania niniejszych objaśnień nie posiadamy wiedzy aby konkretne projekty unijne były realizowane w latach późniejszych. Ma to także odzwierciedlenie w załączniku nr 2 „Wykaz przedsięwzięć do WPF” w pun</w:t>
      </w:r>
      <w:r>
        <w:rPr>
          <w:rStyle w:val="Hipercze"/>
          <w:color w:val="000000"/>
          <w:u w:val="none" w:color="000000"/>
        </w:rPr>
        <w:t>kcie 1.1 gdzie limity wydatków zaplanowano do końca 2022 roku. Przy określaniu kwot wydatków wzięto pod uwagę także wkład własny niezbędny do realizacji zadań;</w:t>
      </w:r>
    </w:p>
    <w:p w:rsidR="00A77B3E" w:rsidRDefault="003B565D">
      <w:pPr>
        <w:keepLines/>
        <w:spacing w:before="120" w:after="120"/>
        <w:ind w:firstLine="340"/>
        <w:rPr>
          <w:rStyle w:val="Hipercze"/>
          <w:color w:val="000000"/>
          <w:u w:val="none" w:color="000000"/>
        </w:rPr>
      </w:pPr>
      <w:r>
        <w:t>5. </w:t>
      </w:r>
      <w:r>
        <w:rPr>
          <w:rStyle w:val="Hipercze"/>
          <w:color w:val="000000"/>
          <w:u w:val="none" w:color="000000"/>
        </w:rPr>
        <w:t>wydatki objęte limitem art. 226 ust. 3 są zgodne z wartościami wykazanymi w załączniku pod na</w:t>
      </w:r>
      <w:r>
        <w:rPr>
          <w:rStyle w:val="Hipercze"/>
          <w:color w:val="000000"/>
          <w:u w:val="none" w:color="000000"/>
        </w:rPr>
        <w:t>zwą „Wykaz przedsięwzięć do WPF”. Wartości wykazane dotyczą, zarówno umów już podpisanych, jak i planowanych do podpisania;</w:t>
      </w:r>
    </w:p>
    <w:p w:rsidR="00A77B3E" w:rsidRDefault="003B565D">
      <w:pPr>
        <w:keepLines/>
        <w:spacing w:before="120" w:after="120"/>
        <w:ind w:firstLine="340"/>
        <w:rPr>
          <w:rStyle w:val="Hipercze"/>
          <w:color w:val="000000"/>
          <w:u w:val="none" w:color="000000"/>
        </w:rPr>
      </w:pPr>
      <w:r>
        <w:t>6. </w:t>
      </w:r>
      <w:r>
        <w:rPr>
          <w:rStyle w:val="Hipercze"/>
          <w:color w:val="000000"/>
          <w:u w:val="none" w:color="000000"/>
        </w:rPr>
        <w:t>w sekcji 10.7 pod nazwą „Wydatki zmniejszające dług” ujęto kwoty wynikające z podpisanej umowy leasingu samochodu osobowego na po</w:t>
      </w:r>
      <w:r>
        <w:rPr>
          <w:rStyle w:val="Hipercze"/>
          <w:color w:val="000000"/>
          <w:u w:val="none" w:color="000000"/>
        </w:rPr>
        <w:t>trzeby Starostwa Powiatowego. Umowa, która została zawarta w drugiej połowie 2019 roku obowiązywać będzie do roku 2023. Comiesięcznie z tego tytułu angażowane są środki w wysokości nieco ponad 1 600 zł.</w:t>
      </w:r>
    </w:p>
    <w:p w:rsidR="00A77B3E" w:rsidRDefault="003B565D">
      <w:pPr>
        <w:spacing w:before="120" w:after="120"/>
        <w:ind w:left="283" w:firstLine="227"/>
        <w:rPr>
          <w:rStyle w:val="Hipercze"/>
          <w:color w:val="000000"/>
          <w:u w:val="none" w:color="000000"/>
        </w:rPr>
      </w:pPr>
      <w:r>
        <w:rPr>
          <w:rStyle w:val="Hipercze"/>
          <w:b/>
          <w:i/>
          <w:color w:val="000000"/>
          <w:u w:val="none" w:color="000000"/>
        </w:rPr>
        <w:t>Przychody i rozchody budżetu</w:t>
      </w:r>
    </w:p>
    <w:p w:rsidR="00A77B3E" w:rsidRDefault="003B565D">
      <w:pPr>
        <w:spacing w:before="120" w:after="120"/>
        <w:ind w:left="283" w:firstLine="227"/>
        <w:rPr>
          <w:rStyle w:val="Hipercze"/>
          <w:color w:val="000000"/>
          <w:u w:val="none" w:color="000000"/>
        </w:rPr>
      </w:pPr>
      <w:r>
        <w:rPr>
          <w:rStyle w:val="Hipercze"/>
          <w:color w:val="000000"/>
          <w:u w:val="none" w:color="000000"/>
        </w:rPr>
        <w:t>Planowane przychody doty</w:t>
      </w:r>
      <w:r>
        <w:rPr>
          <w:rStyle w:val="Hipercze"/>
          <w:color w:val="000000"/>
          <w:u w:val="none" w:color="000000"/>
        </w:rPr>
        <w:t>czą tylko roku 2020. Są to wolne środki uzyskane z rozliczenia działalności kredytobiorczej budżetu w latach ubiegłych w kwocie 9 700 000 zł. Kwota przychodów z wolnych środków na rok 2020 wyliczona została w oparciu o wykonanie podstawowych kategorii w bu</w:t>
      </w:r>
      <w:r>
        <w:rPr>
          <w:rStyle w:val="Hipercze"/>
          <w:color w:val="000000"/>
          <w:u w:val="none" w:color="000000"/>
        </w:rPr>
        <w:t>dżecie na koniec III kwartału 2019 roku a także przewidywania co do kształtowania się podstawowych kategorii budżetu na koniec roku 2019.</w:t>
      </w:r>
    </w:p>
    <w:p w:rsidR="00A77B3E" w:rsidRDefault="003B565D">
      <w:pPr>
        <w:spacing w:before="120" w:after="120"/>
        <w:ind w:left="283" w:firstLine="227"/>
        <w:rPr>
          <w:rStyle w:val="Hipercze"/>
          <w:color w:val="000000"/>
          <w:u w:val="none" w:color="000000"/>
        </w:rPr>
      </w:pPr>
      <w:r>
        <w:rPr>
          <w:rStyle w:val="Hipercze"/>
          <w:color w:val="000000"/>
          <w:u w:val="none" w:color="000000"/>
        </w:rPr>
        <w:t>W wierszu rozchody ogółem ujęto spłatę zaciągniętej pożyczki inwestycyjnej oraz wykup wyemitowanych obligacji komunaln</w:t>
      </w:r>
      <w:r>
        <w:rPr>
          <w:rStyle w:val="Hipercze"/>
          <w:color w:val="000000"/>
          <w:u w:val="none" w:color="000000"/>
        </w:rPr>
        <w:t>ych w wysokościach określonych w odnośnych harmonogramach spłat. Niższa wartość rozchodów w roku 2020, w stosunku do lat następnych, wynika z wykupu w roku 2019 dwóch transz obligacji wyemitowanych w roku 2015 w ramach programu postępowania naprawczego. W </w:t>
      </w:r>
      <w:r>
        <w:rPr>
          <w:rStyle w:val="Hipercze"/>
          <w:color w:val="000000"/>
          <w:u w:val="none" w:color="000000"/>
        </w:rPr>
        <w:t>roku 2020 spłata rozchodów będzie dokonywana z przychodów z wolnych środków. Począwszy od roku 2021 wygenerowana nadwyżka budżetowa, a więc różnica pomiędzy dochodami a wydatkami ogółem, przeznaczana będzie w całości na spłatę zobowiązań dłużnych.</w:t>
      </w:r>
    </w:p>
    <w:p w:rsidR="00A77B3E" w:rsidRDefault="003B565D">
      <w:pPr>
        <w:spacing w:before="120" w:after="120"/>
        <w:ind w:left="283" w:firstLine="227"/>
        <w:rPr>
          <w:rStyle w:val="Hipercze"/>
          <w:color w:val="000000"/>
          <w:u w:val="none" w:color="000000"/>
        </w:rPr>
      </w:pPr>
      <w:r>
        <w:rPr>
          <w:rStyle w:val="Hipercze"/>
          <w:color w:val="000000"/>
          <w:u w:val="none" w:color="000000"/>
        </w:rPr>
        <w:t>W roku 2</w:t>
      </w:r>
      <w:r>
        <w:rPr>
          <w:rStyle w:val="Hipercze"/>
          <w:color w:val="000000"/>
          <w:u w:val="none" w:color="000000"/>
        </w:rPr>
        <w:t>020 rozchody (kwota 404 000 zł) obejmują następujące tytuły:</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spłata rat pożyczki inwestycyjnej na realizację odwodnienia drogi Kalety-Miotek zaciągniętej w WFOŚiGW w Katowicach w dwóch transzach w latach 2016-2017 – kwota 154 000 zł;</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 xml:space="preserve">wykup obligacji </w:t>
      </w:r>
      <w:r>
        <w:rPr>
          <w:rStyle w:val="Hipercze"/>
          <w:color w:val="000000"/>
          <w:u w:val="none" w:color="000000"/>
        </w:rPr>
        <w:t>komunalnych wyemitowanych w roku 2019 celem spłaty wcześniej zaciągniętych zobowiązań dłużnych oraz realizacji inwestycji – kwota 250 000 zł.</w:t>
      </w:r>
    </w:p>
    <w:p w:rsidR="00A77B3E" w:rsidRDefault="003B565D">
      <w:pPr>
        <w:spacing w:before="120" w:after="120"/>
        <w:ind w:left="283" w:firstLine="227"/>
        <w:rPr>
          <w:rStyle w:val="Hipercze"/>
          <w:color w:val="000000"/>
          <w:u w:val="none" w:color="000000"/>
        </w:rPr>
      </w:pPr>
      <w:r>
        <w:rPr>
          <w:rStyle w:val="Hipercze"/>
          <w:b/>
          <w:i/>
          <w:color w:val="000000"/>
          <w:u w:val="none" w:color="000000"/>
        </w:rPr>
        <w:t>Prognoza kwoty długu i spłat zobowiązań</w:t>
      </w:r>
    </w:p>
    <w:p w:rsidR="00A77B3E" w:rsidRDefault="003B565D">
      <w:pPr>
        <w:spacing w:before="120" w:after="120"/>
        <w:ind w:left="283" w:firstLine="227"/>
        <w:rPr>
          <w:rStyle w:val="Hipercze"/>
          <w:color w:val="000000"/>
          <w:u w:val="none" w:color="000000"/>
        </w:rPr>
      </w:pPr>
      <w:r>
        <w:rPr>
          <w:rStyle w:val="Hipercze"/>
          <w:color w:val="000000"/>
          <w:u w:val="none" w:color="000000"/>
        </w:rPr>
        <w:t>Na planowaną łączną kwotę długu na koniec 2020 roku (17 763 752 zł) składa</w:t>
      </w:r>
      <w:r>
        <w:rPr>
          <w:rStyle w:val="Hipercze"/>
          <w:color w:val="000000"/>
          <w:u w:val="none" w:color="000000"/>
        </w:rPr>
        <w:t>ją się następujące pozycje:</w:t>
      </w:r>
    </w:p>
    <w:p w:rsidR="00A77B3E" w:rsidRDefault="003B565D">
      <w:pPr>
        <w:keepLines/>
        <w:spacing w:before="120" w:after="120"/>
        <w:ind w:firstLine="340"/>
        <w:rPr>
          <w:rStyle w:val="Hipercze"/>
          <w:color w:val="000000"/>
          <w:u w:val="none" w:color="000000"/>
        </w:rPr>
      </w:pPr>
      <w:r>
        <w:t>1. </w:t>
      </w:r>
      <w:r>
        <w:rPr>
          <w:rStyle w:val="Hipercze"/>
          <w:color w:val="000000"/>
          <w:u w:val="none" w:color="000000"/>
        </w:rPr>
        <w:t>obligacje komunalne wyemitowane w roku 2015. Pozostała do wykupu kwota to 13 155 000 zł;</w:t>
      </w:r>
    </w:p>
    <w:p w:rsidR="00A77B3E" w:rsidRDefault="003B565D">
      <w:pPr>
        <w:keepLines/>
        <w:spacing w:before="120" w:after="120"/>
        <w:ind w:firstLine="340"/>
        <w:rPr>
          <w:rStyle w:val="Hipercze"/>
          <w:color w:val="000000"/>
          <w:u w:val="none" w:color="000000"/>
        </w:rPr>
      </w:pPr>
      <w:r>
        <w:t>2. </w:t>
      </w:r>
      <w:r>
        <w:rPr>
          <w:rStyle w:val="Hipercze"/>
          <w:color w:val="000000"/>
          <w:u w:val="none" w:color="000000"/>
        </w:rPr>
        <w:t xml:space="preserve">zaciągnięta w dwóch transzach pożyczka inwestycyjna w WFOŚiGW w Katowicach na realizację budowy odwodnienia drogi powiatowej 3248S </w:t>
      </w:r>
      <w:r>
        <w:rPr>
          <w:rStyle w:val="Hipercze"/>
          <w:color w:val="000000"/>
          <w:u w:val="none" w:color="000000"/>
        </w:rPr>
        <w:t>Kalety – Miotek. Pozostała, planowana do spłaty kwota to 307 099 zł;</w:t>
      </w:r>
    </w:p>
    <w:p w:rsidR="00A77B3E" w:rsidRDefault="003B565D">
      <w:pPr>
        <w:keepLines/>
        <w:spacing w:before="120" w:after="120"/>
        <w:ind w:firstLine="340"/>
        <w:rPr>
          <w:rStyle w:val="Hipercze"/>
          <w:color w:val="000000"/>
          <w:u w:val="none" w:color="000000"/>
        </w:rPr>
      </w:pPr>
      <w:r>
        <w:t>3. </w:t>
      </w:r>
      <w:r>
        <w:rPr>
          <w:rStyle w:val="Hipercze"/>
          <w:color w:val="000000"/>
          <w:u w:val="none" w:color="000000"/>
        </w:rPr>
        <w:t>obligacje komunalne wyemitowane w roku 2019. Pozostała do wykupu kwota to 4 250 000 zł;</w:t>
      </w:r>
    </w:p>
    <w:p w:rsidR="00A77B3E" w:rsidRDefault="003B565D">
      <w:pPr>
        <w:keepLines/>
        <w:spacing w:before="120" w:after="120"/>
        <w:ind w:firstLine="340"/>
        <w:rPr>
          <w:rStyle w:val="Hipercze"/>
          <w:color w:val="000000"/>
          <w:u w:val="none" w:color="000000"/>
        </w:rPr>
      </w:pPr>
      <w:r>
        <w:t>4. </w:t>
      </w:r>
      <w:r>
        <w:rPr>
          <w:rStyle w:val="Hipercze"/>
          <w:color w:val="000000"/>
          <w:u w:val="none" w:color="000000"/>
        </w:rPr>
        <w:t>leasing samochodu osobowego na potrzeby Starostwa Powiatowego. Pozostała, planowana do uregul</w:t>
      </w:r>
      <w:r>
        <w:rPr>
          <w:rStyle w:val="Hipercze"/>
          <w:color w:val="000000"/>
          <w:u w:val="none" w:color="000000"/>
        </w:rPr>
        <w:t>owania kwota to 51 653 zł.</w:t>
      </w:r>
    </w:p>
    <w:p w:rsidR="00A77B3E" w:rsidRDefault="003B565D">
      <w:pPr>
        <w:spacing w:before="120" w:after="120"/>
        <w:ind w:left="283" w:firstLine="227"/>
        <w:rPr>
          <w:rStyle w:val="Hipercze"/>
          <w:color w:val="000000"/>
          <w:u w:val="none" w:color="000000"/>
        </w:rPr>
      </w:pPr>
      <w:r>
        <w:rPr>
          <w:rStyle w:val="Hipercze"/>
          <w:color w:val="000000"/>
          <w:u w:val="none" w:color="000000"/>
        </w:rPr>
        <w:t>Integralną, i jedną z najważniejszych, składowych każdej wieloletniej prognozy finansowej stanowi wyliczenie dwóch podstawowych, ustawowych wskaźników, które decydują o możliwościach uchwalenia, zarówno prognozy, jak również budż</w:t>
      </w:r>
      <w:r>
        <w:rPr>
          <w:rStyle w:val="Hipercze"/>
          <w:color w:val="000000"/>
          <w:u w:val="none" w:color="000000"/>
        </w:rPr>
        <w:t>etu na rok następny. Chodzi tu mianowicie o wskaźniki określone w art. 242 i 243 ustawy o finansach publicznych pokazane w sekcjach 7 i 8 załącznika nr 1.</w:t>
      </w:r>
    </w:p>
    <w:p w:rsidR="00A77B3E" w:rsidRDefault="003B565D">
      <w:pPr>
        <w:spacing w:before="120" w:after="120"/>
        <w:ind w:left="283" w:firstLine="227"/>
        <w:rPr>
          <w:rStyle w:val="Hipercze"/>
          <w:color w:val="000000"/>
          <w:u w:val="none" w:color="000000"/>
        </w:rPr>
      </w:pPr>
      <w:r>
        <w:rPr>
          <w:rStyle w:val="Hipercze"/>
          <w:color w:val="000000"/>
          <w:u w:val="none" w:color="000000"/>
        </w:rPr>
        <w:t>Relacja z art. 242 uofp, stanowiąca różnicę pomiędzy dochodami a wydatkami bieżącymi, zawsze przyjmuj</w:t>
      </w:r>
      <w:r>
        <w:rPr>
          <w:rStyle w:val="Hipercze"/>
          <w:color w:val="000000"/>
          <w:u w:val="none" w:color="000000"/>
        </w:rPr>
        <w:t>e wartości dodatnie, co oznacza jej spełnienie w każdym roku objętym prognozą. Różnice te są na tyle wysokie, że powodują, iż budżet posiada rezerwę na wypadek wystąpienia nieprzewidzianych okoliczności w postaci np. przeznaczenia wydatków majątkowych na r</w:t>
      </w:r>
      <w:r>
        <w:rPr>
          <w:rStyle w:val="Hipercze"/>
          <w:color w:val="000000"/>
          <w:u w:val="none" w:color="000000"/>
        </w:rPr>
        <w:t xml:space="preserve">ealizację wydatków bieżących czy też dodatkowego finansowania </w:t>
      </w:r>
      <w:r>
        <w:rPr>
          <w:rStyle w:val="Hipercze"/>
          <w:color w:val="000000"/>
          <w:u w:val="none" w:color="000000"/>
        </w:rPr>
        <w:lastRenderedPageBreak/>
        <w:t>wydatków bieżących przychodami. Podobnie dla całego okresu prognozy spełniona jest też relacja z art. 243 uofp określająca indywidualny wskaźnik zadłużenia, przyjmując do obliczeń zarówno plan n</w:t>
      </w:r>
      <w:r>
        <w:rPr>
          <w:rStyle w:val="Hipercze"/>
          <w:color w:val="000000"/>
          <w:u w:val="none" w:color="000000"/>
        </w:rPr>
        <w:t>a koniec III kwartału roku 2019, jak też przewidywane wykonanie tegoż roku. Planowany wskaźnik długu jest niższy od wskaźnika dopuszczalnej spłaty. Ważne w kontekście uzyskania pożądanych relacji jest przeznaczanie części dochodów bieżących na realizację z</w:t>
      </w:r>
      <w:r>
        <w:rPr>
          <w:rStyle w:val="Hipercze"/>
          <w:color w:val="000000"/>
          <w:u w:val="none" w:color="000000"/>
        </w:rPr>
        <w:t>adań inwestycyjnych a także konsolidacja zadłużenia, która miała miejsce w roku 2015.</w:t>
      </w:r>
    </w:p>
    <w:p w:rsidR="00A77B3E" w:rsidRDefault="003B565D">
      <w:pPr>
        <w:spacing w:before="120" w:after="120"/>
        <w:ind w:left="283" w:firstLine="227"/>
        <w:rPr>
          <w:rStyle w:val="Hipercze"/>
          <w:color w:val="000000"/>
          <w:u w:val="none" w:color="000000"/>
        </w:rPr>
      </w:pPr>
      <w:r>
        <w:rPr>
          <w:rStyle w:val="Hipercze"/>
          <w:b/>
          <w:i/>
          <w:color w:val="000000"/>
          <w:u w:val="none" w:color="000000"/>
        </w:rPr>
        <w:t xml:space="preserve">Wykaz przedsięwzięć realizowanych w latach 2020-2023 </w:t>
      </w:r>
    </w:p>
    <w:p w:rsidR="00A77B3E" w:rsidRDefault="003B565D">
      <w:pPr>
        <w:spacing w:before="120" w:after="120"/>
        <w:ind w:left="283" w:firstLine="227"/>
        <w:rPr>
          <w:rStyle w:val="Hipercze"/>
          <w:color w:val="000000"/>
          <w:u w:val="none" w:color="000000"/>
        </w:rPr>
      </w:pPr>
      <w:r>
        <w:rPr>
          <w:rStyle w:val="Hipercze"/>
          <w:color w:val="000000"/>
          <w:u w:val="none" w:color="000000"/>
        </w:rPr>
        <w:t>Wykaz przedsięwzięć, stanowiący załącznik nr 2 do uchwały w sprawie Wieloletniej Prognozy Finansowej Powiatu Tarnogó</w:t>
      </w:r>
      <w:r>
        <w:rPr>
          <w:rStyle w:val="Hipercze"/>
          <w:color w:val="000000"/>
          <w:u w:val="none" w:color="000000"/>
        </w:rPr>
        <w:t>rskiego, sporządzono do roku 2023, ponieważ do tego roku określono limity wydatków dla przedsięwzięcia z najdłuższym horyzontem czasowym – to jest wspominanego powyżej zadania związanego z leasingiem samochodu. Wykaz obejmuje przedsięwzięcia, dla których u</w:t>
      </w:r>
      <w:r>
        <w:rPr>
          <w:rStyle w:val="Hipercze"/>
          <w:color w:val="000000"/>
          <w:u w:val="none" w:color="000000"/>
        </w:rPr>
        <w:t>mowy zostały już podpisane, oraz te, dla których Powiat planuje aplikować o środki.</w:t>
      </w:r>
    </w:p>
    <w:p w:rsidR="00A77B3E" w:rsidRDefault="003B565D">
      <w:pPr>
        <w:spacing w:before="120" w:after="120"/>
        <w:ind w:left="283" w:firstLine="227"/>
        <w:rPr>
          <w:rStyle w:val="Hipercze"/>
          <w:color w:val="000000"/>
          <w:u w:val="none" w:color="000000"/>
        </w:rPr>
      </w:pPr>
      <w:r>
        <w:rPr>
          <w:rStyle w:val="Hipercze"/>
          <w:color w:val="000000"/>
          <w:u w:val="none" w:color="000000"/>
        </w:rPr>
        <w:t>Nakłady na wszystkie przedsięwzięcia ujęte w wykazie obejmują wydatki łączne finansowane ze źródeł opisanych w zawartych umowach (środki pomocowe w postaci środków struktur</w:t>
      </w:r>
      <w:r>
        <w:rPr>
          <w:rStyle w:val="Hipercze"/>
          <w:color w:val="000000"/>
          <w:u w:val="none" w:color="000000"/>
        </w:rPr>
        <w:t>alnych i dotacji z budżetu państwa, ewentualnie dochody własne z budżetu powiatowego traktowane jako udział). Niektóre przedsięwzięcia kończące się w roku 2020 są kontynuacją zadań dwu a nawet trzyletnich. Umieszczono je w wykazie przedsięwzięć oraz wielol</w:t>
      </w:r>
      <w:r>
        <w:rPr>
          <w:rStyle w:val="Hipercze"/>
          <w:color w:val="000000"/>
          <w:u w:val="none" w:color="000000"/>
        </w:rPr>
        <w:t>etniej prognozie ze względu na zachowanie ciągłości w procedurach budżetowania.</w:t>
      </w:r>
    </w:p>
    <w:p w:rsidR="00A77B3E" w:rsidRDefault="003B565D">
      <w:pPr>
        <w:spacing w:before="120" w:after="120"/>
        <w:ind w:left="283" w:firstLine="227"/>
        <w:rPr>
          <w:rStyle w:val="Hipercze"/>
          <w:color w:val="000000"/>
          <w:u w:val="none" w:color="000000"/>
        </w:rPr>
      </w:pPr>
      <w:r>
        <w:rPr>
          <w:rStyle w:val="Hipercze"/>
          <w:color w:val="000000"/>
          <w:u w:val="none" w:color="000000"/>
        </w:rPr>
        <w:t>W wierszu 1.1 poświęconemu projektom i zadaniom związanym z programami realizowanymi z udziałem środków pochodzących z budżetu Unii Europejskiej, a także z innych źródeł zagran</w:t>
      </w:r>
      <w:r>
        <w:rPr>
          <w:rStyle w:val="Hipercze"/>
          <w:color w:val="000000"/>
          <w:u w:val="none" w:color="000000"/>
        </w:rPr>
        <w:t>icznych nie podlegających zwrotowi, po stronie wydatków bieżących uwzględniono zadania wieloletnie realizowane w oświacie i pomocy społecznej. Podmiotami realizującymi są Starostwo Powiatowe, jednostki oświatowe oraz Powiatowe Centrum Pomocy Rodzinie. Iloś</w:t>
      </w:r>
      <w:r>
        <w:rPr>
          <w:rStyle w:val="Hipercze"/>
          <w:color w:val="000000"/>
          <w:u w:val="none" w:color="000000"/>
        </w:rPr>
        <w:t>ciowo dominują tu projekty o łącznej wartości poniżej 1,0 mln zł związane często z odbywaniem praktyk zagranicznych w krajach wymiany a także rozwijaniem kompetencji poprzez dydaktyczne zajęcia wyrównawcze oparte na metodzie eksperymentu. Dwa projekty „mię</w:t>
      </w:r>
      <w:r>
        <w:rPr>
          <w:rStyle w:val="Hipercze"/>
          <w:color w:val="000000"/>
          <w:u w:val="none" w:color="000000"/>
        </w:rPr>
        <w:t xml:space="preserve">kkie” tj. „Powiatowa Akademia Sukcesu Ucznia Szkoły Zawodowej” oraz „Powiatowe Centrum Usług Społecznych” związane są z zadaniami infrastrukturalnymi w ramach Zintegrowanych Inwestycji Terytorialnych. Na uwagę zasługuje ponadto program, dla którego Powiat </w:t>
      </w:r>
      <w:r>
        <w:rPr>
          <w:rStyle w:val="Hipercze"/>
          <w:color w:val="000000"/>
          <w:u w:val="none" w:color="000000"/>
        </w:rPr>
        <w:t>planuje dopiero aplikować o środki pn. „Pomoc, Wsparcie, Samodzielność – rozwój usług społecznych i mieszkalnictwa chronionego w Powiecie Tarnogórskim” obejmujący, zarówno wydatki bieżące, jak też majątkowe związane z adaptacją pomieszczeń na potrzeby utwo</w:t>
      </w:r>
      <w:r>
        <w:rPr>
          <w:rStyle w:val="Hipercze"/>
          <w:color w:val="000000"/>
          <w:u w:val="none" w:color="000000"/>
        </w:rPr>
        <w:t>rzenia mieszkań chronionych.</w:t>
      </w:r>
    </w:p>
    <w:p w:rsidR="00A77B3E" w:rsidRDefault="003B565D">
      <w:pPr>
        <w:spacing w:before="120" w:after="120"/>
        <w:ind w:left="283" w:firstLine="227"/>
        <w:rPr>
          <w:rStyle w:val="Hipercze"/>
          <w:color w:val="000000"/>
          <w:u w:val="none" w:color="000000"/>
        </w:rPr>
      </w:pPr>
      <w:r>
        <w:rPr>
          <w:rStyle w:val="Hipercze"/>
          <w:color w:val="000000"/>
          <w:u w:val="none" w:color="000000"/>
        </w:rPr>
        <w:t>W roku 2019 zakończona została realizacja zadań inwestycyjnych w ramach Zintegrowanych Inwestycji Terytorialnych. Uzyskane środki pozytywnie wpłynęły na rozwój infrastruktury, przede wszystkim w oświacie i administracji. W obec</w:t>
      </w:r>
      <w:r>
        <w:rPr>
          <w:rStyle w:val="Hipercze"/>
          <w:color w:val="000000"/>
          <w:u w:val="none" w:color="000000"/>
        </w:rPr>
        <w:t>nym momencie nie ma już programów dających niemalże stuprocentową gwarancję uzyskania środków dotacyjnych. Powiat przekonał się o tym choćby na przykładzie termomodernizacji Domu Pomocy Społecznej „Przyjaźń” gdzie nie otrzymano dofinansowania, a podstawowe</w:t>
      </w:r>
      <w:r>
        <w:rPr>
          <w:rStyle w:val="Hipercze"/>
          <w:color w:val="000000"/>
          <w:u w:val="none" w:color="000000"/>
        </w:rPr>
        <w:t xml:space="preserve"> prace, w bardzo okrojonej wersji, należało wykonać ze środków własnych. Nadal jednak planuje się aplikować o środki celem wykonania trzech przedsięwzięć w latach 2020-2021. Zestawienie zaangażowania środków własnych oraz planowanych do pozyskania z zewnąt</w:t>
      </w:r>
      <w:r>
        <w:rPr>
          <w:rStyle w:val="Hipercze"/>
          <w:color w:val="000000"/>
          <w:u w:val="none" w:color="000000"/>
        </w:rPr>
        <w:t>rz na zadania inwestycyjne prezentuje poniższa tabela nr 1.</w:t>
      </w:r>
    </w:p>
    <w:p w:rsidR="00A77B3E" w:rsidRDefault="003B565D">
      <w:pPr>
        <w:spacing w:before="120" w:after="120"/>
        <w:ind w:left="283" w:firstLine="227"/>
        <w:rPr>
          <w:rStyle w:val="Hipercze"/>
          <w:color w:val="000000"/>
          <w:u w:val="none" w:color="000000"/>
        </w:rPr>
      </w:pPr>
      <w:r>
        <w:rPr>
          <w:rStyle w:val="Hipercze"/>
          <w:b/>
          <w:color w:val="000000"/>
          <w:u w:val="none" w:color="000000"/>
        </w:rPr>
        <w:t>Tabela nr 1</w:t>
      </w:r>
      <w:r>
        <w:rPr>
          <w:rStyle w:val="Hipercze"/>
          <w:color w:val="000000"/>
          <w:u w:val="none" w:color="000000"/>
        </w:rPr>
        <w:t xml:space="preserve"> Zestawienie zaangażowania środków własnych oraz planowanych do pozyskania z zewnątrz na wieloletnie zadania inwestycyjne realizowane z udziałem środków pochodzących z budżetu Unii Euro</w:t>
      </w:r>
      <w:r>
        <w:rPr>
          <w:rStyle w:val="Hipercze"/>
          <w:color w:val="000000"/>
          <w:u w:val="none" w:color="000000"/>
        </w:rPr>
        <w:t>pejskiej a także innych źródeł zagranicznych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6"/>
        <w:gridCol w:w="2269"/>
        <w:gridCol w:w="1735"/>
        <w:gridCol w:w="1902"/>
      </w:tblGrid>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Nazwa programu</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Łączne nakłady</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Rok 2020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Rok 2021</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1. Pomoc, Wsparcie, Samodzielność – rozwój usług społecznych i mieszkalnictwa chronionego w Powiecie Tarnogórskim</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263 000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26 000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237 000</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263 000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26 000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237 000</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0</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2.Remont i wyposażenie laboratoriów w Zespole Szkół Chemiczno-Medycznych i Ogólnokształcących w Tarnowskich Górach</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1 560 000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780 000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750 000</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1 195 559</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558 559</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637 000</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364 441</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221 441</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113 000</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 xml:space="preserve">3.Termomodernizacja budynku szkoły Zespołu Szkół Technicznych i Ogólnokształcących w </w:t>
            </w:r>
            <w:r>
              <w:rPr>
                <w:b/>
                <w:sz w:val="20"/>
              </w:rPr>
              <w:lastRenderedPageBreak/>
              <w:t xml:space="preserve">Tarnowskich Górach, ul. Sienkiewicza 23  </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lastRenderedPageBreak/>
              <w:t>3 331 800</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3 299 820</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2 527 668</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2 527 668</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87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204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804 132</w:t>
            </w:r>
          </w:p>
        </w:tc>
        <w:tc>
          <w:tcPr>
            <w:tcW w:w="156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772 152</w:t>
            </w:r>
          </w:p>
        </w:tc>
        <w:tc>
          <w:tcPr>
            <w:tcW w:w="171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bl>
    <w:p w:rsidR="00A77B3E" w:rsidRDefault="003B565D">
      <w:pPr>
        <w:spacing w:before="120" w:after="120"/>
        <w:ind w:left="283" w:firstLine="227"/>
        <w:rPr>
          <w:rStyle w:val="Hipercze"/>
          <w:color w:val="000000"/>
          <w:u w:val="none" w:color="000000"/>
        </w:rPr>
      </w:pPr>
      <w:r>
        <w:rPr>
          <w:rStyle w:val="Hipercze"/>
          <w:color w:val="000000"/>
          <w:u w:val="none" w:color="000000"/>
        </w:rPr>
        <w:t xml:space="preserve">Należy w tym </w:t>
      </w:r>
      <w:r>
        <w:rPr>
          <w:rStyle w:val="Hipercze"/>
          <w:color w:val="000000"/>
          <w:u w:val="none" w:color="000000"/>
        </w:rPr>
        <w:t xml:space="preserve">miejscu wyjaśnić, iż dla inwestycji wymienionych w punktach 2 i 3 Tabeli nr 1 pełny zakres robót obejmuje koszty sfinansowane planowaną dotacją (ostatnia cyfra paragrafu „7”), wkład własny kwalifikowany (ostatnia cyfra paragrafu „9”), jak też wkład własny </w:t>
      </w:r>
      <w:r>
        <w:rPr>
          <w:rStyle w:val="Hipercze"/>
          <w:color w:val="000000"/>
          <w:u w:val="none" w:color="000000"/>
        </w:rPr>
        <w:t>niekwalifikowany (ostatnia cyfra paragrafu zgodnie z wytycznymi instytucji wdrażającej „0”). Celem zachowania spójności danych oraz przejrzystości i czytelności sporządzanego materiału całość kosztów pokazano w wierszu 1.1 „Wykazu przedsięwzięć do WPF” uka</w:t>
      </w:r>
      <w:r>
        <w:rPr>
          <w:rStyle w:val="Hipercze"/>
          <w:color w:val="000000"/>
          <w:u w:val="none" w:color="000000"/>
        </w:rPr>
        <w:t>zującego wydatki na programy współfinansowane środkami unijnymi.</w:t>
      </w:r>
    </w:p>
    <w:p w:rsidR="00A77B3E" w:rsidRDefault="003B565D">
      <w:pPr>
        <w:spacing w:before="120" w:after="120"/>
        <w:ind w:left="283" w:firstLine="227"/>
        <w:rPr>
          <w:rStyle w:val="Hipercze"/>
          <w:color w:val="000000"/>
          <w:u w:val="none" w:color="000000"/>
        </w:rPr>
      </w:pPr>
      <w:r>
        <w:rPr>
          <w:rStyle w:val="Hipercze"/>
          <w:color w:val="000000"/>
          <w:u w:val="none" w:color="000000"/>
        </w:rPr>
        <w:t>Powiat Tarnogórski w okresie objętym prognozą nie przewiduje realizacji projektów lub zadań związanych z umowami partnerstwa publiczno-prywatnego (wiersz 1.2).</w:t>
      </w:r>
    </w:p>
    <w:p w:rsidR="00A77B3E" w:rsidRDefault="003B565D">
      <w:pPr>
        <w:spacing w:before="120" w:after="120"/>
        <w:ind w:left="283" w:firstLine="227"/>
        <w:rPr>
          <w:rStyle w:val="Hipercze"/>
          <w:color w:val="000000"/>
          <w:u w:val="none" w:color="000000"/>
        </w:rPr>
      </w:pPr>
      <w:r>
        <w:rPr>
          <w:rStyle w:val="Hipercze"/>
          <w:color w:val="000000"/>
          <w:u w:val="none" w:color="000000"/>
        </w:rPr>
        <w:t>Pozostałe programy, projekty lu</w:t>
      </w:r>
      <w:r>
        <w:rPr>
          <w:rStyle w:val="Hipercze"/>
          <w:color w:val="000000"/>
          <w:u w:val="none" w:color="000000"/>
        </w:rPr>
        <w:t xml:space="preserve">b zadania określone w wierszu 1.3 obejmują segment bieżący i majątkowy. Realizowane zadania dotyczą wielu obszarów funkcjonowania Powiatu, w tym infrastruktury drogowej, administracji, pomocy społecznej, oświaty oraz ochrony zdrowia. To właśnie na odcinku </w:t>
      </w:r>
      <w:r>
        <w:rPr>
          <w:rStyle w:val="Hipercze"/>
          <w:color w:val="000000"/>
          <w:u w:val="none" w:color="000000"/>
        </w:rPr>
        <w:t>pozyskiwania dotacyjnych środków krajowych rysują się obecnie lepsze perspektywy. Możliwość taką daje współpraca z gminami oraz innymi podmiotami z terenu Powiatu (nadleśnictwa). Nowo utworzony Fundusz Dróg Samorządowych, a także istniejące od dawna fundus</w:t>
      </w:r>
      <w:r>
        <w:rPr>
          <w:rStyle w:val="Hipercze"/>
          <w:color w:val="000000"/>
          <w:u w:val="none" w:color="000000"/>
        </w:rPr>
        <w:t>ze, takie jak narodowy lub wojewódzkie fundusze ochrony środowiska i gospodarki wodnej, uruchamiają programy pozwalające aplikować o środki. Można także zwracać się o środki z budżetu państwa. Z wszystkich tych opcji Powiat korzystał bądź planuje skorzysta</w:t>
      </w:r>
      <w:r>
        <w:rPr>
          <w:rStyle w:val="Hipercze"/>
          <w:color w:val="000000"/>
          <w:u w:val="none" w:color="000000"/>
        </w:rPr>
        <w:t>ć w roku 2020 i w latach przyszłych. Poniższa tabela nr 2 ukazuje planowane do pozyskania środki współfinansujące pozostałe wieloletnie zadania inwestycyjne.</w:t>
      </w:r>
    </w:p>
    <w:p w:rsidR="00A77B3E" w:rsidRDefault="003B565D">
      <w:pPr>
        <w:spacing w:before="120" w:after="120"/>
        <w:ind w:left="283" w:firstLine="227"/>
        <w:rPr>
          <w:rStyle w:val="Hipercze"/>
          <w:color w:val="000000"/>
          <w:u w:val="none" w:color="000000"/>
        </w:rPr>
      </w:pPr>
      <w:r>
        <w:rPr>
          <w:rStyle w:val="Hipercze"/>
          <w:b/>
          <w:color w:val="000000"/>
          <w:u w:val="none" w:color="000000"/>
        </w:rPr>
        <w:t>Tabela nr 2</w:t>
      </w:r>
      <w:r>
        <w:rPr>
          <w:rStyle w:val="Hipercze"/>
          <w:color w:val="000000"/>
          <w:u w:val="none" w:color="000000"/>
        </w:rPr>
        <w:t xml:space="preserve"> Zestawienie zaangażowania środków własnych oraz planowanych do pozyskania z zewnątrz na pozostałe wieloletnie zadania inwestycyjne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8"/>
        <w:gridCol w:w="2026"/>
        <w:gridCol w:w="1664"/>
        <w:gridCol w:w="1664"/>
        <w:gridCol w:w="1400"/>
      </w:tblGrid>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Nazwa programu</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Łączne nakłady</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Rok 2020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Rok 2021</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center"/>
              <w:rPr>
                <w:rStyle w:val="Hipercze"/>
                <w:color w:val="000000"/>
                <w:u w:val="none" w:color="000000"/>
              </w:rPr>
            </w:pPr>
            <w:r>
              <w:rPr>
                <w:b/>
                <w:sz w:val="20"/>
              </w:rPr>
              <w:t>Rok 2022</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1.Adaptacja byłej kuchni w budynku WSP S.A. na potrzeby bloku ope</w:t>
            </w:r>
            <w:r>
              <w:rPr>
                <w:b/>
                <w:sz w:val="20"/>
              </w:rPr>
              <w:t>racyjnego i centralnej sterylizatorni</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14 889 174</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14 649 324</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6 319 587</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6 319 587</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8 569 587</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8 329 737</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2.Przebudowa ulicy Powstańców Śląskich w Tarnowskich Górach</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7 158 600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6 880 000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5 351 000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5 160 000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1 807 600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1 720 000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 xml:space="preserve">3.Rozbudowa drogi powiatowej 3200S na odcinku od DK 78 do ulicy Mickiewicza w m. Ossy Gmina Ożarowice </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8 588 750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1 749 000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5 630 090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874 500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2 958 660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874 500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4.Budowa ścieżki rowerowej na odcinku Laryszów-Miedary (droga 3218S) w Zbrosławicach</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1 977 672</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1 257 672</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1 453 254</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943 254</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524 418</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314 418</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5.Termomodernizacja budynku Domu Pomocy Społecznej w Łubiu</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3 765 000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1 040 000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1 750 000</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910 000</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2 970 000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840 000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1 400 000</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730 000</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795 000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200 000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350 000</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180 000</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b/>
                <w:sz w:val="20"/>
              </w:rPr>
              <w:t>6.Rozbudowa DP3210S i DP3207S ul. Główna w Zendku</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5 802 900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5 520 000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b/>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środki zewnętrzne</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4 481 450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4 340 000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r w:rsidR="009F111E">
        <w:tc>
          <w:tcPr>
            <w:tcW w:w="3150"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rPr>
                <w:rStyle w:val="Hipercze"/>
                <w:color w:val="000000"/>
                <w:u w:val="none" w:color="000000"/>
              </w:rPr>
            </w:pPr>
            <w:r>
              <w:rPr>
                <w:sz w:val="20"/>
              </w:rPr>
              <w:t>wkład własny</w:t>
            </w:r>
          </w:p>
        </w:tc>
        <w:tc>
          <w:tcPr>
            <w:tcW w:w="184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1 321 450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1 180 000</w:t>
            </w:r>
          </w:p>
        </w:tc>
        <w:tc>
          <w:tcPr>
            <w:tcW w:w="151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c>
          <w:tcPr>
            <w:tcW w:w="1275" w:type="dxa"/>
            <w:tcBorders>
              <w:top w:val="single" w:sz="2" w:space="0" w:color="auto"/>
              <w:left w:val="single" w:sz="2" w:space="0" w:color="auto"/>
              <w:bottom w:val="single" w:sz="2" w:space="0" w:color="auto"/>
              <w:right w:val="single" w:sz="2" w:space="0" w:color="auto"/>
            </w:tcBorders>
            <w:tcMar>
              <w:top w:w="0" w:type="dxa"/>
              <w:left w:w="0" w:type="dxa"/>
              <w:bottom w:w="0" w:type="dxa"/>
              <w:right w:w="0" w:type="dxa"/>
            </w:tcMar>
          </w:tcPr>
          <w:p w:rsidR="00A77B3E" w:rsidRDefault="003B565D">
            <w:pPr>
              <w:jc w:val="right"/>
              <w:rPr>
                <w:rStyle w:val="Hipercze"/>
                <w:color w:val="000000"/>
                <w:u w:val="none" w:color="000000"/>
              </w:rPr>
            </w:pPr>
            <w:r>
              <w:rPr>
                <w:sz w:val="20"/>
              </w:rPr>
              <w:t>-</w:t>
            </w:r>
          </w:p>
        </w:tc>
      </w:tr>
    </w:tbl>
    <w:p w:rsidR="00A77B3E" w:rsidRDefault="003B565D">
      <w:pPr>
        <w:spacing w:before="120" w:after="120"/>
        <w:ind w:left="283" w:firstLine="227"/>
        <w:rPr>
          <w:rStyle w:val="Hipercze"/>
          <w:color w:val="000000"/>
          <w:u w:val="none" w:color="000000"/>
        </w:rPr>
      </w:pPr>
      <w:r>
        <w:rPr>
          <w:rStyle w:val="Hipercze"/>
          <w:b/>
          <w:i/>
          <w:color w:val="000000"/>
          <w:u w:val="none" w:color="000000"/>
        </w:rPr>
        <w:t>Podsumowanie</w:t>
      </w:r>
    </w:p>
    <w:p w:rsidR="00A77B3E" w:rsidRDefault="003B565D">
      <w:pPr>
        <w:spacing w:before="120" w:after="120"/>
        <w:ind w:left="283" w:firstLine="227"/>
        <w:rPr>
          <w:rStyle w:val="Hipercze"/>
          <w:color w:val="000000"/>
          <w:u w:val="none" w:color="000000"/>
        </w:rPr>
      </w:pPr>
      <w:r>
        <w:rPr>
          <w:rStyle w:val="Hipercze"/>
          <w:color w:val="000000"/>
          <w:u w:val="none" w:color="000000"/>
        </w:rPr>
        <w:t>Celem wieloletniej prognozy finansowej, sporządzonej realistycznie i zgodnie ze stanem faktycznym, jest dostarczanie informacji o sytuacji budżetu na przestrzeni kilku najbliższych lat oraz, na tej pods</w:t>
      </w:r>
      <w:r>
        <w:rPr>
          <w:rStyle w:val="Hipercze"/>
          <w:color w:val="000000"/>
          <w:u w:val="none" w:color="000000"/>
        </w:rPr>
        <w:t xml:space="preserve">tawie, wspomaganie procesu zarządzania finansami jednostki. Spełnienie w całym okresie prognozy relacji </w:t>
      </w:r>
      <w:r>
        <w:rPr>
          <w:rStyle w:val="Hipercze"/>
          <w:color w:val="000000"/>
          <w:u w:val="none" w:color="000000"/>
        </w:rPr>
        <w:lastRenderedPageBreak/>
        <w:t>określonych w art. 242 i 243 ustawy o finansach publicznych pozwala na uchwalenie przyszłorocznego budżetu oraz daje pewne poczucie bezpieczeństwa jeżel</w:t>
      </w:r>
      <w:r>
        <w:rPr>
          <w:rStyle w:val="Hipercze"/>
          <w:color w:val="000000"/>
          <w:u w:val="none" w:color="000000"/>
        </w:rPr>
        <w:t>i chodzi o konstruowanie i uchwalanie przyszłych budżetów. Wprowadzone obecnie uregulowania dotyczące formuł wyliczania wskaźników spłaty zobowiązań, w realiach budżetowych Powiatu Tarnogórskiego, wyraźnie poprawiły relacje zadłużeniowe. Mówimy tutaj szcze</w:t>
      </w:r>
      <w:r>
        <w:rPr>
          <w:rStyle w:val="Hipercze"/>
          <w:color w:val="000000"/>
          <w:u w:val="none" w:color="000000"/>
        </w:rPr>
        <w:t>gólnie o poziomach wskaźników dopuszczalnych limitów spłaty. Sytuacja powyższa jest nader optymistyczna i krzepiąca, przede wszystkim w kontekście możliwości oczekiwania budżetów bardziej rozwojowych – proinwestycyjnych. Wynika to, w głównej mierze, z niec</w:t>
      </w:r>
      <w:r>
        <w:rPr>
          <w:rStyle w:val="Hipercze"/>
          <w:color w:val="000000"/>
          <w:u w:val="none" w:color="000000"/>
        </w:rPr>
        <w:t>o większej swobody w prowadzeniu gospodarki finansowej mocniej opartej o finansowanie zewnętrzne. Z drugiej jednakże strony nie można zapominać o całokształcie budżetu. Należy ponadto mieć na względzie dynamicznie zmieniające się otoczenie gospodarcze i pr</w:t>
      </w:r>
      <w:r>
        <w:rPr>
          <w:rStyle w:val="Hipercze"/>
          <w:color w:val="000000"/>
          <w:u w:val="none" w:color="000000"/>
        </w:rPr>
        <w:t>awne. Tylko bowiem ciągła analiza i właściwa interpretacja bieżących zdarzeń może dać sygnał do odpowiednio wczesnej reakcji w celu uniknięcia ewentualnych problemów finansowych w przyszłości.</w:t>
      </w:r>
    </w:p>
    <w:sectPr w:rsidR="00A77B3E">
      <w:footerReference w:type="default" r:id="rId11"/>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65D" w:rsidRDefault="003B565D">
      <w:r>
        <w:separator/>
      </w:r>
    </w:p>
  </w:endnote>
  <w:endnote w:type="continuationSeparator" w:id="0">
    <w:p w:rsidR="003B565D" w:rsidRDefault="003B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F111E">
      <w:tc>
        <w:tcPr>
          <w:tcW w:w="6804" w:type="dxa"/>
          <w:tcBorders>
            <w:top w:val="single" w:sz="2" w:space="0" w:color="auto"/>
            <w:left w:val="nil"/>
            <w:bottom w:val="nil"/>
            <w:right w:val="nil"/>
          </w:tcBorders>
          <w:tcMar>
            <w:top w:w="100" w:type="dxa"/>
            <w:left w:w="0" w:type="dxa"/>
            <w:bottom w:w="0" w:type="dxa"/>
            <w:right w:w="0" w:type="dxa"/>
          </w:tcMar>
        </w:tcPr>
        <w:p w:rsidR="009F111E" w:rsidRDefault="003B565D">
          <w:pPr>
            <w:jc w:val="left"/>
            <w:rPr>
              <w:sz w:val="18"/>
            </w:rPr>
          </w:pPr>
          <w:r>
            <w:rPr>
              <w:sz w:val="18"/>
            </w:rPr>
            <w:t xml:space="preserve">Id: </w:t>
          </w:r>
          <w:r>
            <w:rPr>
              <w:sz w:val="18"/>
            </w:rPr>
            <w:t>8E9A1C36-09CE-4507-9963-91FDA2600B05. Podpisany</w:t>
          </w:r>
        </w:p>
      </w:tc>
      <w:tc>
        <w:tcPr>
          <w:tcW w:w="3402" w:type="dxa"/>
          <w:tcBorders>
            <w:top w:val="single" w:sz="2" w:space="0" w:color="auto"/>
            <w:left w:val="nil"/>
            <w:bottom w:val="nil"/>
            <w:right w:val="nil"/>
          </w:tcBorders>
          <w:tcMar>
            <w:top w:w="100" w:type="dxa"/>
            <w:left w:w="0" w:type="dxa"/>
            <w:bottom w:w="0" w:type="dxa"/>
            <w:right w:w="0" w:type="dxa"/>
          </w:tcMar>
        </w:tcPr>
        <w:p w:rsidR="009F111E" w:rsidRDefault="003B565D">
          <w:pPr>
            <w:jc w:val="right"/>
            <w:rPr>
              <w:sz w:val="18"/>
            </w:rPr>
          </w:pPr>
          <w:r>
            <w:rPr>
              <w:sz w:val="18"/>
            </w:rPr>
            <w:t xml:space="preserve">Strona </w:t>
          </w:r>
          <w:r>
            <w:rPr>
              <w:sz w:val="18"/>
            </w:rPr>
            <w:fldChar w:fldCharType="begin"/>
          </w:r>
          <w:r>
            <w:rPr>
              <w:sz w:val="18"/>
            </w:rPr>
            <w:instrText>PAGE</w:instrText>
          </w:r>
          <w:r w:rsidR="00402925">
            <w:rPr>
              <w:sz w:val="18"/>
            </w:rPr>
            <w:fldChar w:fldCharType="separate"/>
          </w:r>
          <w:r w:rsidR="00402925">
            <w:rPr>
              <w:noProof/>
              <w:sz w:val="18"/>
            </w:rPr>
            <w:t>1</w:t>
          </w:r>
          <w:r>
            <w:rPr>
              <w:sz w:val="18"/>
            </w:rPr>
            <w:fldChar w:fldCharType="end"/>
          </w:r>
        </w:p>
      </w:tc>
    </w:tr>
  </w:tbl>
  <w:p w:rsidR="009F111E" w:rsidRDefault="009F111E">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F111E">
      <w:tc>
        <w:tcPr>
          <w:tcW w:w="6804" w:type="dxa"/>
          <w:tcBorders>
            <w:top w:val="single" w:sz="2" w:space="0" w:color="auto"/>
            <w:left w:val="nil"/>
            <w:bottom w:val="nil"/>
            <w:right w:val="nil"/>
          </w:tcBorders>
          <w:tcMar>
            <w:top w:w="100" w:type="dxa"/>
            <w:left w:w="0" w:type="dxa"/>
            <w:bottom w:w="0" w:type="dxa"/>
            <w:right w:w="0" w:type="dxa"/>
          </w:tcMar>
        </w:tcPr>
        <w:p w:rsidR="009F111E" w:rsidRDefault="003B565D">
          <w:pPr>
            <w:jc w:val="left"/>
            <w:rPr>
              <w:sz w:val="18"/>
            </w:rPr>
          </w:pPr>
          <w:r>
            <w:rPr>
              <w:sz w:val="18"/>
            </w:rPr>
            <w:t>Id: 8E9A1C36-09CE-4507-9963-91FDA2600B05. Podpisany</w:t>
          </w:r>
        </w:p>
      </w:tc>
      <w:tc>
        <w:tcPr>
          <w:tcW w:w="3402" w:type="dxa"/>
          <w:tcBorders>
            <w:top w:val="single" w:sz="2" w:space="0" w:color="auto"/>
            <w:left w:val="nil"/>
            <w:bottom w:val="nil"/>
            <w:right w:val="nil"/>
          </w:tcBorders>
          <w:tcMar>
            <w:top w:w="100" w:type="dxa"/>
            <w:left w:w="0" w:type="dxa"/>
            <w:bottom w:w="0" w:type="dxa"/>
            <w:right w:w="0" w:type="dxa"/>
          </w:tcMar>
        </w:tcPr>
        <w:p w:rsidR="009F111E" w:rsidRDefault="003B565D">
          <w:pPr>
            <w:jc w:val="right"/>
            <w:rPr>
              <w:sz w:val="18"/>
            </w:rPr>
          </w:pPr>
          <w:r>
            <w:rPr>
              <w:sz w:val="18"/>
            </w:rPr>
            <w:t xml:space="preserve">Strona </w:t>
          </w:r>
          <w:r>
            <w:rPr>
              <w:sz w:val="18"/>
            </w:rPr>
            <w:fldChar w:fldCharType="begin"/>
          </w:r>
          <w:r>
            <w:rPr>
              <w:sz w:val="18"/>
            </w:rPr>
            <w:instrText>PAGE</w:instrText>
          </w:r>
          <w:r w:rsidR="00402925">
            <w:rPr>
              <w:sz w:val="18"/>
            </w:rPr>
            <w:fldChar w:fldCharType="separate"/>
          </w:r>
          <w:r w:rsidR="00402925">
            <w:rPr>
              <w:noProof/>
              <w:sz w:val="18"/>
            </w:rPr>
            <w:t>1</w:t>
          </w:r>
          <w:r>
            <w:rPr>
              <w:sz w:val="18"/>
            </w:rPr>
            <w:fldChar w:fldCharType="end"/>
          </w:r>
        </w:p>
      </w:tc>
    </w:tr>
  </w:tbl>
  <w:p w:rsidR="009F111E" w:rsidRDefault="009F111E">
    <w:pP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F111E">
      <w:tc>
        <w:tcPr>
          <w:tcW w:w="6804" w:type="dxa"/>
          <w:tcBorders>
            <w:top w:val="single" w:sz="2" w:space="0" w:color="auto"/>
            <w:left w:val="nil"/>
            <w:bottom w:val="nil"/>
            <w:right w:val="nil"/>
          </w:tcBorders>
          <w:tcMar>
            <w:top w:w="100" w:type="dxa"/>
            <w:left w:w="0" w:type="dxa"/>
            <w:bottom w:w="0" w:type="dxa"/>
            <w:right w:w="0" w:type="dxa"/>
          </w:tcMar>
        </w:tcPr>
        <w:p w:rsidR="009F111E" w:rsidRDefault="003B565D">
          <w:pPr>
            <w:jc w:val="left"/>
            <w:rPr>
              <w:sz w:val="18"/>
            </w:rPr>
          </w:pPr>
          <w:r>
            <w:rPr>
              <w:sz w:val="18"/>
            </w:rPr>
            <w:t>Id: 8E9A1C36-09CE-4507-9963-91FDA2600B05. Podpisany</w:t>
          </w:r>
        </w:p>
      </w:tc>
      <w:tc>
        <w:tcPr>
          <w:tcW w:w="3402" w:type="dxa"/>
          <w:tcBorders>
            <w:top w:val="single" w:sz="2" w:space="0" w:color="auto"/>
            <w:left w:val="nil"/>
            <w:bottom w:val="nil"/>
            <w:right w:val="nil"/>
          </w:tcBorders>
          <w:tcMar>
            <w:top w:w="100" w:type="dxa"/>
            <w:left w:w="0" w:type="dxa"/>
            <w:bottom w:w="0" w:type="dxa"/>
            <w:right w:w="0" w:type="dxa"/>
          </w:tcMar>
        </w:tcPr>
        <w:p w:rsidR="009F111E" w:rsidRDefault="003B565D">
          <w:pPr>
            <w:jc w:val="right"/>
            <w:rPr>
              <w:sz w:val="18"/>
            </w:rPr>
          </w:pPr>
          <w:r>
            <w:rPr>
              <w:sz w:val="18"/>
            </w:rPr>
            <w:t xml:space="preserve">Strona </w:t>
          </w:r>
          <w:r>
            <w:rPr>
              <w:sz w:val="18"/>
            </w:rPr>
            <w:fldChar w:fldCharType="begin"/>
          </w:r>
          <w:r>
            <w:rPr>
              <w:sz w:val="18"/>
            </w:rPr>
            <w:instrText>PAGE</w:instrText>
          </w:r>
          <w:r w:rsidR="00402925">
            <w:rPr>
              <w:sz w:val="18"/>
            </w:rPr>
            <w:fldChar w:fldCharType="separate"/>
          </w:r>
          <w:r w:rsidR="00402925">
            <w:rPr>
              <w:noProof/>
              <w:sz w:val="18"/>
            </w:rPr>
            <w:t>1</w:t>
          </w:r>
          <w:r>
            <w:rPr>
              <w:sz w:val="18"/>
            </w:rPr>
            <w:fldChar w:fldCharType="end"/>
          </w:r>
        </w:p>
      </w:tc>
    </w:tr>
  </w:tbl>
  <w:p w:rsidR="009F111E" w:rsidRDefault="009F111E">
    <w:pPr>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F111E">
      <w:tc>
        <w:tcPr>
          <w:tcW w:w="6804" w:type="dxa"/>
          <w:tcBorders>
            <w:top w:val="single" w:sz="2" w:space="0" w:color="auto"/>
            <w:left w:val="nil"/>
            <w:bottom w:val="nil"/>
            <w:right w:val="nil"/>
          </w:tcBorders>
          <w:tcMar>
            <w:top w:w="100" w:type="dxa"/>
            <w:left w:w="0" w:type="dxa"/>
            <w:bottom w:w="0" w:type="dxa"/>
            <w:right w:w="0" w:type="dxa"/>
          </w:tcMar>
        </w:tcPr>
        <w:p w:rsidR="009F111E" w:rsidRDefault="003B565D">
          <w:pPr>
            <w:jc w:val="left"/>
            <w:rPr>
              <w:sz w:val="18"/>
            </w:rPr>
          </w:pPr>
          <w:r>
            <w:rPr>
              <w:sz w:val="18"/>
            </w:rPr>
            <w:t>Id: 8E9A1C36-09CE-4507-9963-91FDA2600B05. Podpisany</w:t>
          </w:r>
        </w:p>
      </w:tc>
      <w:tc>
        <w:tcPr>
          <w:tcW w:w="3402" w:type="dxa"/>
          <w:tcBorders>
            <w:top w:val="single" w:sz="2" w:space="0" w:color="auto"/>
            <w:left w:val="nil"/>
            <w:bottom w:val="nil"/>
            <w:right w:val="nil"/>
          </w:tcBorders>
          <w:tcMar>
            <w:top w:w="100" w:type="dxa"/>
            <w:left w:w="0" w:type="dxa"/>
            <w:bottom w:w="0" w:type="dxa"/>
            <w:right w:w="0" w:type="dxa"/>
          </w:tcMar>
        </w:tcPr>
        <w:p w:rsidR="009F111E" w:rsidRDefault="003B565D">
          <w:pPr>
            <w:jc w:val="right"/>
            <w:rPr>
              <w:sz w:val="18"/>
            </w:rPr>
          </w:pPr>
          <w:r>
            <w:rPr>
              <w:sz w:val="18"/>
            </w:rPr>
            <w:t xml:space="preserve">Strona </w:t>
          </w:r>
          <w:r>
            <w:rPr>
              <w:sz w:val="18"/>
            </w:rPr>
            <w:fldChar w:fldCharType="begin"/>
          </w:r>
          <w:r>
            <w:rPr>
              <w:sz w:val="18"/>
            </w:rPr>
            <w:instrText>PAGE</w:instrText>
          </w:r>
          <w:r w:rsidR="00402925">
            <w:rPr>
              <w:sz w:val="18"/>
            </w:rPr>
            <w:fldChar w:fldCharType="separate"/>
          </w:r>
          <w:r w:rsidR="00402925">
            <w:rPr>
              <w:noProof/>
              <w:sz w:val="18"/>
            </w:rPr>
            <w:t>9</w:t>
          </w:r>
          <w:r>
            <w:rPr>
              <w:sz w:val="18"/>
            </w:rPr>
            <w:fldChar w:fldCharType="end"/>
          </w:r>
        </w:p>
      </w:tc>
    </w:tr>
  </w:tbl>
  <w:p w:rsidR="009F111E" w:rsidRDefault="009F111E">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65D" w:rsidRDefault="003B565D">
      <w:r>
        <w:separator/>
      </w:r>
    </w:p>
  </w:footnote>
  <w:footnote w:type="continuationSeparator" w:id="0">
    <w:p w:rsidR="003B565D" w:rsidRDefault="003B565D">
      <w:r>
        <w:continuationSeparator/>
      </w:r>
    </w:p>
  </w:footnote>
  <w:footnote w:id="1">
    <w:p w:rsidR="009F111E" w:rsidRDefault="003B565D">
      <w:pPr>
        <w:pStyle w:val="Tekstprzypisudolnego"/>
        <w:keepLines/>
        <w:ind w:left="170" w:hanging="170"/>
      </w:pPr>
      <w:r>
        <w:rPr>
          <w:rStyle w:val="Odwoanieprzypisudolnego"/>
        </w:rPr>
        <w:footnoteRef/>
      </w:r>
      <w:r>
        <w:rPr>
          <w:vertAlign w:val="superscript"/>
        </w:rPr>
        <w:t>) </w:t>
      </w:r>
      <w:r>
        <w:t>Przepisy wprowadzające zmiany opublikowano w: Dz. U. z 2018r. poz. 2245</w:t>
      </w:r>
    </w:p>
  </w:footnote>
  <w:footnote w:id="2">
    <w:p w:rsidR="009F111E" w:rsidRDefault="003B565D">
      <w:pPr>
        <w:pStyle w:val="Tekstprzypisudolnego"/>
        <w:keepLines/>
        <w:ind w:left="170" w:hanging="170"/>
      </w:pPr>
      <w:r>
        <w:rPr>
          <w:rStyle w:val="Odwoanieprzypisudolnego"/>
        </w:rPr>
        <w:footnoteRef/>
      </w:r>
      <w:r>
        <w:rPr>
          <w:vertAlign w:val="superscript"/>
        </w:rPr>
        <w:t>) </w:t>
      </w:r>
      <w:r>
        <w:t>Przepisy wprowadzające zmiany opublikowano w: Dz. U. z 2019r. poz. 1815</w:t>
      </w:r>
    </w:p>
  </w:footnote>
  <w:footnote w:id="3">
    <w:p w:rsidR="009F111E" w:rsidRDefault="003B565D">
      <w:pPr>
        <w:pStyle w:val="Tekstprzypisudolnego"/>
        <w:keepLines/>
        <w:ind w:left="170" w:hanging="170"/>
      </w:pPr>
      <w:r>
        <w:rPr>
          <w:rStyle w:val="Odwoanieprzypisudolnego"/>
        </w:rPr>
        <w:footnoteRef/>
      </w:r>
      <w:r>
        <w:rPr>
          <w:vertAlign w:val="superscript"/>
        </w:rPr>
        <w:t>) </w:t>
      </w:r>
      <w:r>
        <w:t>Przepisy wprowadzające zmiany opublikowano w: Dz. U. z 2019r. poz. 1903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1E"/>
    <w:rsid w:val="003B565D"/>
    <w:rsid w:val="00402925"/>
    <w:rsid w:val="009F11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57A9A-B18E-4B78-9DBA-DD0E5675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basedOn w:val="Domylnaczcionkaakapitu"/>
    <w:rsid w:val="00805BCE"/>
    <w:rPr>
      <w:vertAlign w:val="superscript"/>
    </w:rPr>
  </w:style>
  <w:style w:type="paragraph" w:styleId="Tekstprzypisudolnego">
    <w:name w:val="footnote text"/>
    <w:basedOn w:val="Normalny"/>
    <w:rsid w:val="00805BCE"/>
    <w:rPr>
      <w:sz w:val="20"/>
      <w:szCs w:val="20"/>
    </w:rPr>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nr314\AppData\Local\Temp\Zalacznik1.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0" Type="http://schemas.openxmlformats.org/officeDocument/2006/relationships/hyperlink" Target="file:///C:\Users\nr314\AppData\Local\Temp\Zalacznik2.pdf" TargetMode="Externa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5600</Words>
  <Characters>33601</Characters>
  <Application>Microsoft Office Word</Application>
  <DocSecurity>0</DocSecurity>
  <Lines>280</Lines>
  <Paragraphs>78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XV/156/2019 z dnia 17 grudnia 2019 r.</vt:lpstr>
      <vt:lpstr/>
    </vt:vector>
  </TitlesOfParts>
  <Company>Rada Powiatu Tarnogórskiego</Company>
  <LinksUpToDate>false</LinksUpToDate>
  <CharactersWithSpaces>39123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XV/156/2019 z dnia 17 grudnia 2019 r.</dc:title>
  <dc:subject>w sprawie Wieloletniej Prognozy Finansowej Powiatu Tarnogórskiego na lata 2020-2028</dc:subject>
  <dc:creator>nr367</dc:creator>
  <cp:lastModifiedBy>nr314</cp:lastModifiedBy>
  <cp:revision>2</cp:revision>
  <dcterms:created xsi:type="dcterms:W3CDTF">2019-12-27T06:38:00Z</dcterms:created>
  <dcterms:modified xsi:type="dcterms:W3CDTF">2019-12-27T06:38:00Z</dcterms:modified>
  <cp:category>Akt prawny</cp:category>
</cp:coreProperties>
</file>