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XV/154/2019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Powiatu Tarnogórskiego na lata 2019-2028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226,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228,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229,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230,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231, art. 232,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869 z 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Rozporządzenia Ministra Finansów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jednostki samorządu terytorialnego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2015r.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92 z 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II/33/2018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2019-2028 otrzymuje brzmienie według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II/33/2018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2019-2028 otrzymuje brzmienie według załącznika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objaśnienia wartości Wieloletniej Prognozy Finansowej Powiatu Tarnogórskiego na lata 2019-2028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zmianami dokonanymi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XV/154/2019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17 grudnia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XV/154/2019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17 grudnia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120" w:after="120" w:line="360" w:lineRule="auto"/>
        <w:ind w:left="5559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XV/154/2019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 zmian kategorii i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przyjętych w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Powiatu Tarnogórskiego na lata 2019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2028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prognozie i przedsięwzięciach wieloletnich są rezultatem zdarzeń gospodarczych mających miejsce w miesiącach listopadzie i grudniu. Wpłynęły one na wartości podstawowych kategorii tylko w roku bieżącym. Bez zmian pozostały natomiast wartości w latach przyszłych. W poniższej tabeli przedstawiono zmiany podstawowych kategorii dla roku 2019.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48"/>
        <w:gridCol w:w="3004"/>
        <w:gridCol w:w="2615"/>
        <w:gridCol w:w="2117"/>
        <w:gridCol w:w="1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Wartość WPF z dnia 26.11.2019r.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Wartość WPF z 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Różnica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179</w:t>
            </w:r>
            <w:r>
              <w:t> </w:t>
            </w:r>
            <w:r>
              <w:t>978</w:t>
            </w:r>
            <w:r>
              <w:t> </w:t>
            </w:r>
            <w:r>
              <w:t>397,53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180</w:t>
            </w:r>
            <w:r>
              <w:t> </w:t>
            </w:r>
            <w:r>
              <w:t>870</w:t>
            </w:r>
            <w:r>
              <w:t> </w:t>
            </w:r>
            <w:r>
              <w:t>340,53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891</w:t>
            </w:r>
            <w:r>
              <w:t> </w:t>
            </w:r>
            <w:r>
              <w:t>943,00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180</w:t>
            </w:r>
            <w:r>
              <w:t> </w:t>
            </w:r>
            <w:r>
              <w:t>792</w:t>
            </w:r>
            <w:r>
              <w:t> </w:t>
            </w:r>
            <w:r>
              <w:t>770,53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181</w:t>
            </w:r>
            <w:r>
              <w:t> </w:t>
            </w:r>
            <w:r>
              <w:t>684</w:t>
            </w:r>
            <w:r>
              <w:t> </w:t>
            </w:r>
            <w:r>
              <w:t>713,53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891</w:t>
            </w:r>
            <w:r>
              <w:t> </w:t>
            </w:r>
            <w:r>
              <w:t>943,00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-814</w:t>
            </w:r>
            <w:r>
              <w:t> </w:t>
            </w:r>
            <w:r>
              <w:t>373,00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-814</w:t>
            </w:r>
            <w:r>
              <w:t> </w:t>
            </w:r>
            <w:r>
              <w:t>373,00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  <w:r>
              <w:t> </w:t>
            </w:r>
            <w:r>
              <w:t>968</w:t>
            </w:r>
            <w:r>
              <w:t> </w:t>
            </w:r>
            <w:r>
              <w:t>373,00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  <w:r>
              <w:t> </w:t>
            </w:r>
            <w:r>
              <w:t>968</w:t>
            </w:r>
            <w:r>
              <w:t> </w:t>
            </w:r>
            <w:r>
              <w:t>373,00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  <w:r>
              <w:t> </w:t>
            </w:r>
            <w:r>
              <w:t>154</w:t>
            </w:r>
            <w:r>
              <w:t> </w:t>
            </w:r>
            <w:r>
              <w:t>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  <w:r>
              <w:t> </w:t>
            </w:r>
            <w:r>
              <w:t>154</w:t>
            </w:r>
            <w:r>
              <w:t> </w:t>
            </w:r>
            <w:r>
              <w:t>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operacyjny brutto =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</w:t>
            </w:r>
            <w:r>
              <w:t> </w:t>
            </w:r>
            <w:r>
              <w:t>629</w:t>
            </w:r>
            <w:r>
              <w:t> </w:t>
            </w:r>
            <w:r>
              <w:t>863,00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</w:t>
            </w:r>
            <w:r>
              <w:t> </w:t>
            </w:r>
            <w:r>
              <w:t>903</w:t>
            </w:r>
            <w:r>
              <w:t> </w:t>
            </w:r>
            <w:r>
              <w:t>916,00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  <w:r>
              <w:t> </w:t>
            </w:r>
            <w:r>
              <w:t>274</w:t>
            </w:r>
            <w:r>
              <w:t> </w:t>
            </w:r>
            <w:r>
              <w:t>053,00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Ilość zmian w dochodach i wydatkach dokonywanych na koniec roku, tj. w miesiącach listopadzie i grudniu, zazwyczaj jest znacząca. Łączny wzrost planu tych dwóch kategorii, w stosunku do prognozy z końca listopada, to niespełna 900 tys. zł. Jeśli chodzi o dochody to wiele z tych zmian miało charakter dostosowujący plan do przewidywanej realizacji na koniec roku. Tytuły nie w pełni zrealizowane zastąpiono tytułami zrealizowanymi ponadplanowo. Zmian tych dokonano w Starostwie Powiatowym, jednostkach oświatowych oraz jednostkach pomocy społecznej. Ważniejsze z nich dotyczyły: korekt dotacji otrzymanych od Wojewody Śląskiego na zadania własne i zlecone, nieznacznej korekty zwiększającej wartość części oświatowej subwencji ogólnej, zwiększenia udziałów w PIT i CIT, zmniejszenia dochodów ze sprzedaży nieruchomości, zwiększenia kwoty udziałów Powiatu w gospodarowaniu majątkiem skarbu państwa (25% i 5% z użytkowania wieczystego), korekt związanych z rozliczeniami zadań dofinansowanych środkami strukturalnymi w ramach ZIT, zwiększenia dochodów otrzymanych z odszkodowań, kar umownych, rozliczeń dotacji udzielonych niepublicznym jednostkom oświatowym w latach ubiegłych, zwiększenia środków z opłat za zajęcie pasa jezdni, zwiększenia dochodów z odsetek od środków zgromadzonych na rachunkach bankowych, zwrotu podatku VAT naliczonego przy realizacji w roku 2018 inwestycji w budynkach szpitalnych.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Jeśli zaś chodzi o wydatki, poza dostosowaniem planu do przewidywanej realizacji oraz zmianami determinowanymi otrzymanymi decyzjami finansowymi, wskazać należy: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zabezpieczenie planu celem zwrotu nienależnie otrzymanej części oświatowej subwencji ogólnej za rok 2014;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doszacowanie planu na dotacje dla niepublicznych jednostek oświatowych;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zwiększenie planu na realizację zadania przebudowy pomieszczeń sanitarnych w Zespole Szkół Technicznych i Ogólnokształcących w związku ze złożonymi przez potencjalnych wykonawców ofertami.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analizowanym okresie nie uległa zmianie wartość przychodów i rozchodów roku obecnego a także podstawowe wartości prognozy finansowej w latach następnych.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Wprowadzone zmiany spowodowały, dla roku 2019, znaczącą poprawę wskaźnika z art. 242 ustawy o finansach publicznych. Wynikało to przede wszystkim z zastąpienia niewykonywanego tytułu dochodów ze sprzedaży majątku tytułami dochodów bieżących wykonanymi ponadplanowo. Powyższy zabieg księgowy pozostał natomiast praktycznie neutralny dla kształtowania się wskaźnika z art. 243 wspomnianej ustawy. Należy jednakże podkreślić, iż obie relacje spełnione są, zarówno w roku obecnym, jak też i w latach przyszłych, ze stosunkowo bezpieczną nadwyżką.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wykazie przedsięwzięć stanowiącym załącznik nr 2 zaszła tylko jedna zmiana. Zwiększono o kwotę 62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964 zł limit wydatków roku 2019 oraz łączną wartość dla zadania „Przebudowa pomieszczeń sanitarnych w Zespole Szkół Technicznych i Ogólnokształcących w Tarnowskich Górach”. Powyższe jest wynikiem wyższych niż zakładano ofert złożonych przez potencjalnych wykonawców w toczącym się obecnie postępowaniu przetargowym.</w:t>
      </w:r>
    </w:p>
    <w:sectPr>
      <w:footerReference w:type="default" r:id="rId8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C3BD91BC-865A-4092-A668-588B0C285AD3.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C3BD91BC-865A-4092-A668-588B0C285AD3.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C3BD91BC-865A-4092-A668-588B0C285AD3.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C3BD91BC-865A-4092-A668-588B0C285AD3.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2245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1903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XV/154/2019 z dnia 17 grudnia 2019 r.</dc:title>
  <dc:subject>w sprawie zmiany Wieloletniej Prognozy Finansowej Powiatu Tarnogórskiego na lata 2019-2028</dc:subject>
  <dc:creator>nr367</dc:creator>
  <cp:lastModifiedBy>nr367</cp:lastModifiedBy>
  <cp:revision>1</cp:revision>
  <dcterms:created xsi:type="dcterms:W3CDTF">2019-12-19T08:43:49Z</dcterms:created>
  <dcterms:modified xsi:type="dcterms:W3CDTF">2019-12-19T08:43:49Z</dcterms:modified>
  <cp:category>Akt prawny</cp:category>
</cp:coreProperties>
</file>