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XV/156/2019</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17 grudnia 2019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Wieloletniej Prognozy Finansowej Powiatu Tarnogórskiego na lata 2020-2028</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226,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227,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228,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229,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230,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242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243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sierpnia 2009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finansach publicznych (tekst jednolity: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2019r.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869 z późn. zm.</w:t>
      </w:r>
      <w:r>
        <w:rPr>
          <w:rStyle w:val="FootnoteReference"/>
        </w:rPr>
        <w:footnoteReference w:id="0"/>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1998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samorządzie powiatowym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511 ze zm.</w:t>
      </w:r>
      <w:r>
        <w:rPr>
          <w:rStyle w:val="FootnoteReference"/>
        </w:rPr>
        <w:footnoteReference w:id="1"/>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oraz Rozporządzenia Ministra Finansów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wieloletniej prognozy finansowej jednostki samorządu terytorialnego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2015r.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92 z późn. zm.</w:t>
      </w:r>
      <w:r>
        <w:rPr>
          <w:rStyle w:val="FootnoteReference"/>
        </w:rPr>
        <w:footnoteReference w:id="2"/>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 xml:space="preserve">Uchwala się Wieloletnią Prognozę Finansową Powiatu Tarnogórskiego na lata 2020–2028 wraz </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prognozą kwoty długu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spłat zobowiązań na lata 2020-2028</w:t>
      </w:r>
      <w:r>
        <w:rPr>
          <w:rFonts w:ascii="Times New Roman" w:eastAsia="Times New Roman" w:hAnsi="Times New Roman" w:cs="Times New Roman"/>
          <w:b w:val="0"/>
          <w:i/>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xml:space="preserv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do niniejszej uchwały.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Określa się wykaz przedsięwzięć realizowanych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latach 2020-2023</w:t>
      </w:r>
      <w:r>
        <w:rPr>
          <w:rFonts w:ascii="Times New Roman" w:eastAsia="Times New Roman" w:hAnsi="Times New Roman" w:cs="Times New Roman"/>
          <w:b w:val="0"/>
          <w:i/>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xml:space="preserv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do niniejszej uchwały.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Uchwala się objaśnienia przyjętych wartości do Wieloletniej Prognozy Finansowej Powiatu Tarnogórskiego na lata 2020-2028,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do niniejszej uchwały.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Upoważnia się Zarząd Powiatu do zaciągania zobowiązań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realizacją przedsięwzięć, określonych załącznikiem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do uchwały.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Upoważnia się Zarząd Powiatu do zaciągania zobowiązań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tytułu umów których realizacja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budżetowym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latach następnych jest niezbędna do zapewnienia ciągłości działania Powiatu Tarnogórskiego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 których wynikające płatności wykraczają poza rok budżetowy.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Upoważnia się Zarząd Powiatu do dokonywania zmian limitów zobowiązań i kwot wydatków na realizację przedsięwzięcia finansowanego z udziałem środków europejskich albo środków, o których mowa w art. 5 ust.1 pkt 3 ustawy o finansach publicznych, w związku ze zmianami w realizacji tego przedsięwzięcia, o ile zmiany te nie pogorszą wyniku budżetu dla każdego roku objętego wieloletnią prognozą finansową. Upoważnienie to obejmuje także upoważnienie do dokonywania zmian środków przeznaczonych na współfinansowanie realizacji przedsięwzięć, o których mowa w zdaniu pierwszym, w tym wkładu własnego beneficjenta, oraz wynikających z rozstrzygniętych konkursów, o których mowa w art. 38 ust. 1 pkt 1 ustawy o zasadach realizacji programów.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Upoważnia się Zarząd Powiatu do przekazania uprawnień kierownikom jednostek organizacyjnych do zaciągania zobowiązań,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Uchyla się uchwałę nr II/33/2018 Rady Powiatu Tarnogórskiego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2018 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sprawie Wieloletniej Prognozy Finansowej Powiatu Tarnogórskiego na lata 2019-2028 oraz jej późniejsze zmiany.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 xml:space="preserve">Wykonanie uchwały powierza się Zarządowi Powiatu Tarnogórskiego. </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sposób zwyczajowo przyjęty. </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pgSz w:w="11906" w:h="16838"/>
          <w:pgMar w:top="850" w:right="850" w:bottom="1417" w:left="850" w:header="708" w:footer="708" w:gutter="0"/>
          <w:cols w:space="708"/>
          <w:docGrid w:linePitch="360"/>
        </w:sectPr>
      </w:pPr>
    </w:p>
    <w:p w:rsidR="00A77B3E">
      <w:pPr>
        <w:keepNext/>
        <w:spacing w:before="280" w:after="280" w:line="360" w:lineRule="auto"/>
        <w:ind w:left="4535"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sectPr>
          <w:footerReference w:type="default" r:id="rId6"/>
          <w:endnotePr>
            <w:numFmt w:val="decimal"/>
          </w:endnotePr>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 do uchwały</w:t>
      </w:r>
      <w:r>
        <w:rPr>
          <w:rFonts w:ascii="Times New Roman" w:eastAsia="Times New Roman" w:hAnsi="Times New Roman" w:cs="Times New Roman"/>
          <w:b w:val="0"/>
          <w:i w:val="0"/>
          <w:caps w:val="0"/>
          <w:strike w:val="0"/>
          <w:color w:val="000000"/>
          <w:sz w:val="22"/>
          <w:u w:val="none" w:color="000000"/>
          <w:vertAlign w:val="baseline"/>
        </w:rPr>
        <w:t xml:space="preserve"> Nr XV/156/2019</w:t>
      </w:r>
      <w:r>
        <w:rPr>
          <w:rFonts w:ascii="Times New Roman" w:eastAsia="Times New Roman" w:hAnsi="Times New Roman" w:cs="Times New Roman"/>
          <w:b w:val="0"/>
          <w:i w:val="0"/>
          <w:caps w:val="0"/>
          <w:strike w:val="0"/>
          <w:color w:val="000000"/>
          <w:sz w:val="22"/>
          <w:u w:val="none" w:color="000000"/>
          <w:vertAlign w:val="baseline"/>
        </w:rPr>
        <w:br/>
      </w:r>
      <w: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17 grudnia 2019 r.</w:t>
      </w:r>
      <w:r>
        <w:rPr>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instrText xml:space="preserve"> HYPERLINK "Zalacznik1.pdf" </w:instrText>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t>Zalacznik1.pdf</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p>
    <w:p w:rsidR="00A77B3E">
      <w:pPr>
        <w:keepNext/>
        <w:spacing w:before="280" w:after="280" w:line="360" w:lineRule="auto"/>
        <w:ind w:left="4535"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sectPr>
          <w:footerReference w:type="default" r:id="rId7"/>
          <w:endnotePr>
            <w:numFmt w:val="decimal"/>
          </w:endnotePr>
          <w:type w:val="nextPage"/>
          <w:pgSz w:w="11906" w:h="16838"/>
          <w:pgMar w:top="850" w:right="850" w:bottom="1417" w:left="850" w:header="708" w:footer="708" w:gutter="0"/>
          <w:pgNumType w:start="1"/>
          <w:cols w:space="708"/>
          <w:docGrid w:linePitch="360"/>
        </w:sectPr>
      </w:pP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r>
        <w:t>Załącznik Nr 2 do uchwały</w:t>
      </w:r>
      <w:r>
        <w:rPr>
          <w:rStyle w:val="Hyperlink"/>
          <w:rFonts w:ascii="Times New Roman" w:eastAsia="Times New Roman" w:hAnsi="Times New Roman" w:cs="Times New Roman"/>
          <w:b w:val="0"/>
          <w:i w:val="0"/>
          <w:caps w:val="0"/>
          <w:strike w:val="0"/>
          <w:color w:val="000000"/>
          <w:sz w:val="22"/>
          <w:u w:val="none" w:color="000000"/>
          <w:vertAlign w:val="baseline"/>
        </w:rPr>
        <w:t xml:space="preserve"> Nr XV/156/2019</w:t>
      </w:r>
      <w:r>
        <w:rPr>
          <w:rStyle w:val="Hyperlink"/>
          <w:rFonts w:ascii="Times New Roman" w:eastAsia="Times New Roman" w:hAnsi="Times New Roman" w:cs="Times New Roman"/>
          <w:b w:val="0"/>
          <w:i w:val="0"/>
          <w:caps w:val="0"/>
          <w:strike w:val="0"/>
          <w:color w:val="000000"/>
          <w:sz w:val="22"/>
          <w:u w:val="none" w:color="000000"/>
          <w:vertAlign w:val="baseline"/>
        </w:rPr>
        <w:br/>
      </w:r>
      <w:r>
        <w:t>Rady Powiatu Tarnogórskiego</w:t>
      </w:r>
      <w:r>
        <w:rPr>
          <w:rStyle w:val="Hyperlink"/>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17 grudnia 2019 r.</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instrText xml:space="preserve"> HYPERLINK "Zalacznik2.pdf" </w:instrText>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t>Zalacznik2.pdf</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p>
    <w:p w:rsidR="00A77B3E">
      <w:pPr>
        <w:keepNext/>
        <w:spacing w:before="120" w:after="120" w:line="360" w:lineRule="auto"/>
        <w:ind w:left="5559"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r>
        <w:rPr>
          <w:rStyle w:val="Hyperlink"/>
          <w:rFonts w:ascii="Times New Roman" w:eastAsia="Times New Roman" w:hAnsi="Times New Roman" w:cs="Times New Roman"/>
          <w:b w:val="0"/>
          <w:i w:val="0"/>
          <w:caps w:val="0"/>
          <w:strike w:val="0"/>
          <w:color w:val="000000"/>
          <w:sz w:val="22"/>
          <w:u w:val="none" w:color="000000"/>
          <w:vertAlign w:val="baseline"/>
        </w:rPr>
        <w:t>Załącznik nr</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3</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do uchwały nr XV/156/2019</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Rady Powiatu Tarnogórskiego</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z dnia 17</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grudnia 2019</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2"/>
          <w:u w:val="none" w:color="000000"/>
          <w:vertAlign w:val="baseline"/>
        </w:rPr>
        <w:t>Objaśnienia kategorii i</w:t>
      </w:r>
      <w:r>
        <w:rPr>
          <w:rStyle w:val="Hyperlink"/>
          <w:rFonts w:ascii="Times New Roman" w:eastAsia="Times New Roman" w:hAnsi="Times New Roman" w:cs="Times New Roman"/>
          <w:b/>
          <w:i w:val="0"/>
          <w:caps w:val="0"/>
          <w:strike w:val="0"/>
          <w:color w:val="000000"/>
          <w:sz w:val="22"/>
          <w:u w:val="none" w:color="000000"/>
          <w:vertAlign w:val="baseline"/>
        </w:rPr>
        <w:t> </w:t>
      </w:r>
      <w:r>
        <w:rPr>
          <w:rStyle w:val="Hyperlink"/>
          <w:rFonts w:ascii="Times New Roman" w:eastAsia="Times New Roman" w:hAnsi="Times New Roman" w:cs="Times New Roman"/>
          <w:b/>
          <w:i w:val="0"/>
          <w:caps w:val="0"/>
          <w:strike w:val="0"/>
          <w:color w:val="000000"/>
          <w:sz w:val="22"/>
          <w:u w:val="none" w:color="000000"/>
          <w:vertAlign w:val="baseline"/>
        </w:rPr>
        <w:t>wartości przyjętych w</w:t>
      </w:r>
      <w:r>
        <w:rPr>
          <w:rStyle w:val="Hyperlink"/>
          <w:rFonts w:ascii="Times New Roman" w:eastAsia="Times New Roman" w:hAnsi="Times New Roman" w:cs="Times New Roman"/>
          <w:b/>
          <w:i w:val="0"/>
          <w:caps w:val="0"/>
          <w:strike w:val="0"/>
          <w:color w:val="000000"/>
          <w:sz w:val="22"/>
          <w:u w:val="none" w:color="000000"/>
          <w:vertAlign w:val="baseline"/>
        </w:rPr>
        <w:t> </w:t>
      </w:r>
      <w:r>
        <w:rPr>
          <w:rStyle w:val="Hyperlink"/>
          <w:rFonts w:ascii="Times New Roman" w:eastAsia="Times New Roman" w:hAnsi="Times New Roman" w:cs="Times New Roman"/>
          <w:b/>
          <w:i w:val="0"/>
          <w:caps w:val="0"/>
          <w:strike w:val="0"/>
          <w:color w:val="000000"/>
          <w:sz w:val="22"/>
          <w:u w:val="none" w:color="000000"/>
          <w:vertAlign w:val="baseline"/>
        </w:rPr>
        <w:t>Wieloletniej Prognozie Finansowej Powiatu Tarnogórskiego na lata 2020-2028</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Ogólna charakterystyka i założenia</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Wieloletnia Prognoza Finansowa Powiatu Tarnogórskiego obejmuje okres roku budżetowego i kolejne lata aż do roku 2028, kiedy to kończy się wykup ostatniego z zaciągniętych zobowiązań dłużnych tj. obligacji komunalnych wyemitowanych w dwóch transzach w 2019 roku.</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Prognozę sporządzono w oparciu o wskaźniki i parametry otrzymane od dysponentów środków z obszaru finansów publicznych (informacje o wysokości subwencji ogólnej, udziału w podatku od osób fizycznych, kwotach dotacji od Wojewody Śląskiego na zadania własne i zlecone, wytyczne Ministra Finansów dotyczące założeń makroekonomicznych kraju) oraz posiadane informacje co do kształtowania się podstawowych kategorii budżetowych obecnego roku według stanu na koniec października 2019 roku.</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Tylko na rok 2020 zaplanowano budżet deficytowy. Źródłem pokrycia deficytu będą przychody z wolnych środków. W pozostałych latach planuje się budżety zrównoważone. Wygenerowane nadwyżki w kolejnych latach planuje się przeznaczyć w całości na wykup wyemitowanych obligacji oraz spłatę pożyczki inwestycyjnej. Prognozując wartości ujęte w WPF stosowano zasadę ostrożności chcąc zachować jak najlepszą realistyczność tego narzędzia planowania.</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Dochody budżetowe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Dochody budżetowe na rok 2020 wyliczono na kwotę 192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966</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769 zł, w tym:</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dochody bieżące – 170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289</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077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dochody majątkowe – 22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677</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692 zł.</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Rok 2020 przyjęto jako odniesienie i bazę porównań na lata 2021-2028 prognozy.</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Wielkość przyjęta w planie dochodów ogółem na 2020 rok jest większa od planu obecnego roku, wg stanu na koniec października 2019 r., o kwotę 13,41 mln zł. Wyższa w roku 2020 jest, zarówno wysokość planowanych dochodów bieżących (o 3,97 mln zł), jak też dochodów majątkowych (9,44 mln zł). Jeżeli chodzi o podstawowe kategorie dochodów bieżących to w roku 2020, w stosunku do roku 2019:</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znacząco wyższą wartość przyjmuje część oświatowa subwencji ogólnej;</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porównywalnie kształtują się udziały w podatkach dochodowych;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niższą wartość przyjmują środki dotacyjne (od Wojewody, z Funduszu Pracy, z gmin, na realizację projektów strukturalnych);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niższa jest wartość pozostałych tytułów dochodów (przede wszystkim w następstwie uzyskania w roku 2019 wielu nieplanowanych tytułów).</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Niższe dochody z dotacji na zadania bieżące w budżecie na początku roku 2020, w porównaniu ze stanem na koniec października roku obecnego, nie powinny niepokoić. Obserwowane zachowania dysponentów w większości przypadków polegają na tym, iż plany na początku są nieco niższe. Środki z dotacji od Wojewody zwiększane są następnie w ciągu całego roku na podstawie decyzji finansowych. Podobnie w ciągu roku podpisywane mogą być umowy o współfinansowanie (pomoc finansowa) przez gminy zadań powiatowych np. w infrastrukturze drogowej.</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Mówiąc o podstawowych kategoriach dochodów majątkowych, to w roku 2020 – w stosunku do roku 2019:</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na porównywalnym poziomie kształtuje się planowana sprzedaż majątku;</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znacząco wyższą wartość przyjmują przewidywane wpływy z dotacji.</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Zasadniczy wpływ na poziom dotacji w roku 2020 mają dofinansowania w czterech obszarach działalności:</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infrastrukturze drogowej gdzie Powiat zamierza pozyskać środki z Funduszu Dróg Samorządowych, Nadleśnictwa Świerklaniec, czy też z gmin;</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ochronie zdrowia w związku z uzyskaniem środków z budżetu państwa na adaptację pomieszczeń w WSP S.A. na potrzeby bloku operacyjnego i centralnej sterylizatorni;</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oświacie w efekcie składania wniosków o środki z funduszy strukturalnych;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pomocy społecznej w związku z zakładanym dofinansowaniem z Narodowego Funduszu Ochrony Środowiska i Gospodarki Wodnej.</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Kwota dochodów ogółem najwyższą wartość przyjmuje dla roku 2020. W latach 2021-2022 notowane są spadki. Natomiast od roku 2023 do końca okresu prognozy następuje niewielki, coroczny wzrost wartości dochodów ogółem. Główny wpływ na taką sytuację ma poziom środków uzyskiwanych na finansowanie zadań inwestycyjnych oraz na realizację projektów i programów współfinansowanych środkami unijnymi.  Jeśli chodzi o inwestycje to, z różnych względów, część zadań planowanych do realizacji w roku 2019 przesunięta została na rok 2020. Ponieważ część z nich ma już zagwarantowane dofinansowanie zewnętrzne, z tego powodu w roku 2020 notujemy stosunkowo wysoki poziom dotacji. W następnych latach poziom dotacji majątkowych obniża się i kształtuje w przedziale około 7-8 mln zł. Co zaś się tyczy bieżących programów i projektów dofinansowanych środkami unijnymi to wydatki z obecnej perspektywy finansowej mogą być realizowane i rozliczane do końca 2022 roku. Z kolei w latach 2023-2028, mimo iż poziom dotacji z segmentu bieżącego jest stosunkowo stabilny, to jednak udział dotacji strukturalnych wyraźnie spada w porównaniu z latami 2020-2022.</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Najbardziej ogólny podział strony dochodowej uwzględnia tylko dochody bieżące i majątkowe, niemniej do celów analitycznych konieczne jest przedstawienie ich w większej szczegółowości. Poniżej przedstawiono założenia przyjęte przy prognozowaniu poszczególnych tytułów dochodów tworzących powyższe dwie, podstawowe grupy. Starano się nie uwzględniać niepewnych, incydentalnych źródeł i tytułów. I tak w przypadku dochodów bieżących: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udziały w podatku dochodowym od osób fizycznych (kwota 43,4 mln zł w roku 2020) – zaplanowano w oparciu o znacznie skorygowaną „in minus” (kwota 3,0 mln zł) wartość wskaźnika otrzymanego z Ministerstwa Finansów na rok 2020. Powyższa korekta jest rezultatem kierowania się zasadą ostrożności przy planowaniu budżetu. Niepewność co do realizacji tego tytułu w roku 2020 budzą przyjęte w roku obecnym zmiany ustawowe w aspekcie opodatkowania obywateli (np. zwolnienie podatników do 26 roku życia, wzrost kosztów uzyskania przychodów, obniżenie podstawowej stawki podatkowej do 17%). Z drugiej jednak strony wzrost płacy minimalnej oraz utrzymujące się na niskim poziomie bezrobocie będzie dodatnio wpływać na realizację dochodów. Wskaźnik z roku 2020 przyjęto jako bazę dla kolejnych lat. W całym okresie prognozy założono wzrosty tego tytułu. Ze względu na czynniki omówione powyżej (płaca minimalna oraz poziom bezrobocia) przyrosty tego tytułu są najbardziej znaczące w latach 2021-2025. Przy prognozowaniu tego tytułu w latach następnych wzięto ponadto pod uwagę sytuację gospodarczą w kraju i zagranicą. Także i tutaj występuje pewien dualizm. Wysoki popyt wewnętrzny wynikający z wdrożonych transferów socjalnych równoważony może być niższym eksportem, w związku z obserwowanym obecnie pogorszeniem koniunktury na światowych rynkach. Ważne w tym kontekście są problemy z zadłużeniem niektórych krajów ze strefy Euro, prawdopodobny Brexit oraz nadal realna groźba wojny handlowej pomiędzy USA, Chinami oraz krajami Unii Europejskiej. Poza planowanym wzrostem płacy minimalnej nie posiadamy wiedzy o innych, przyszłych zmianach w prawie wpływających na wysokość udziału w PIT w kolejnych latach. Mając na względzie powyższe tendencje przyjętą wartość omawianego tytułu w ostatnim roku prognozy założono na poziomie 47,4 mln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udziały w podatku dochodowym od osób prawnych – przyjęto w oparciu o wykonania lat ubiegłych oraz prognozę co do kształtowania się sytuacji ekonomicznej kraju w przyszłości. W roku 2020 założono kwotę 1,4 mln zł, a w następnych latach jej niewielkie wzrosty, aż do wysokości 1,6 mln zł w 2028 roku;</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część oświatową subwencji ogólnej stanowiącą główny składnik planowanych dochodów celowo-parametrycznych Powiatu dla roku 2020 przyjęto biorąc za punkt wyjścia wskaźnik ministerialny otrzymany na tenże rok tj. 78,4 mln zł. Ze względu na wzrosty nauczycielskich pensji, waloryzację pozostałych dodatków (np. dla stażystów, za wychowawstwo) oraz podwójny nabór w roku 2019 tytuł ten na rok 2020 kształtuje się znacznie powyżej dochodów uzyskanych w latach ubiegłych. Na przyszłe lata prognozy założono niewielkie jego wzrosty wynikające przede wszystkim z prawdopodobnych dalszych podwyżek wynagrodzeń dla pedagogów, choć sytuacja demograficzna oraz planowany nabór do szkół sugerowałby nieznaczną tendencję spadkową wysokości subwencji oświatowej. Na koniec okresu prognozy wartość tego tytułu zaplanowano na poziomie 80,0 mln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część równoważącą subwencji ogólnej przyjęto dla roku 2020 w oparciu o poziom wskaźnika jaki Powiat otrzymał z Ministerstwa Finansów. W kolejnych latach prognozy tytuł ten – jako stosunkowo trudny do zaplanowania – założono w wysokości porównywalnej do roku 2020 tj. w przedziale 735-760 tys.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Style w:val="Hyperlink"/>
          <w:rFonts w:ascii="Times New Roman" w:eastAsia="Times New Roman" w:hAnsi="Times New Roman" w:cs="Times New Roman"/>
          <w:b w:val="0"/>
          <w:i w:val="0"/>
          <w:caps w:val="0"/>
          <w:strike w:val="0"/>
          <w:color w:val="000000"/>
          <w:sz w:val="22"/>
          <w:u w:val="none" w:color="000000"/>
          <w:vertAlign w:val="baseline"/>
        </w:rPr>
        <w:t>w odniesieniu zaś do subwencji wyrównawczej w prognozie finansowej nie planowano dochodów z tego tytułu;</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Style w:val="Hyperlink"/>
          <w:rFonts w:ascii="Times New Roman" w:eastAsia="Times New Roman" w:hAnsi="Times New Roman" w:cs="Times New Roman"/>
          <w:b w:val="0"/>
          <w:i w:val="0"/>
          <w:caps w:val="0"/>
          <w:strike w:val="0"/>
          <w:color w:val="000000"/>
          <w:sz w:val="22"/>
          <w:u w:val="none" w:color="000000"/>
          <w:vertAlign w:val="baseline"/>
        </w:rPr>
        <w:t>w grupie dotacji i środków przeznaczonych na zadania bieżące uwzględniono między innymi:</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dotacje otrzymane z budżetu państwa na zadania własne i zlecone – skalkulowano, dla całego okresu, w oparciu o informacje otrzymane ze Śląskiego Urzędu Wojewódzkiego dla roku 2020 (23,9 mln zł). Przy prognozowaniu posłużono się również wykonaniami lat poprzednich. Powyższy tytuł zaplanowano w latach 2021-2028 uwzględniając nieznaczne wzrosty roczne (przeciętnie o około 0,5-1%);</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dotacje otrzymane z innych jednostek w oparciu o zawarte porozumienia np. dotacje z funduszy celowych, z tytułu pomocy finansowej udzielanej pomiędzy jednostkami samorządu terytorialnego oraz w ramach porozumień z gminami – przyjęto uwzględniając wykonania lat ubiegłych, a także podpisane lub przewidywane do podpisania porozumienia. Na rok 2020 przyjęto wartość 0,4 mln zł. W kolejnych latach dochody z tego tytułu oscylować będą na podobnym poziomie, w granicach 0,4-0,6 mln zł. Zauważyć należy jednak, że w roku 2020 i w latach następnych nie uwzględniono środków pomocowych z gmin na zadania remontowe w infrastrukturze drogowej. Takowe środki „pojawiają się” w budżetach zazwyczaj w trakcie trwania roku zwiększając planowane dochody i wydatki;</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środki z Funduszu Pracy otrzymane z przeznaczeniem na sfinansowanie kosztów wynagrodzeń i składek na ubezpieczenia społeczne dla pracowników Powiatowego Urzędu Pracy w Tarnowskich Górach zaplanowano tylko w roku 2020 w kwocie 0,3 mln zł, zgodnie z pojawiającymi się w publikatorach ekonomicznych i prasie samorządowej informacjami. W kolejnych latach prognozy nie zaplanowano dochodów z tego tytułu;</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dochody otrzymane od instytucji wdrażających na programy i projekty współfinansowane środkami zewnętrznymi skalkulowano mając na względzie porozumienia już zawarte oraz przewidywane do podpisania. Choć w perspektywie unijnej 2014-2020 znacznie większy nacisk położony został na rozwój infrastrukturalny (np. Zintegrowane Inwestycje Terytorialne) nie zabrakło również środków na tzw. projekty miękkie. Część z nich („Powiatowa Akademia Sukcesu Ucznia Szkoły Zawodowej”, „Powiatowe Centrum Usług Społecznych”) powiązana została z projektami infrastrukturalnymi. Część jednak jest od nich niezależna. Tak więc planowana wartość tego tytułu w roku 2020 wynosi 2,4 mln zł, w roku 2021 – 1,7 mln zł, a w następnych latach waha się w granicach 1,3-1,5 mln zł.</w:t>
      </w:r>
    </w:p>
    <w:p w:rsidR="00A77B3E">
      <w:pPr>
        <w:keepNext w:val="0"/>
        <w:keepLines w:val="0"/>
        <w:spacing w:before="120" w:after="120" w:line="240" w:lineRule="auto"/>
        <w:ind w:left="624"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Łączna wysokość dochodów z tytułów opisanych w ustępie 6 dla roku 2020 wynosi 26,9 mln zł. Ze względu na niższe dotacje unijne oraz nie planowanie po roku 2020 środków z Funduszu Pracy w roku 2021 obserwujemy spadek tego tytułu do poziomu 26,0 mln zł. Od roku 2022 do końca okresu prognozy odnotowuje się stabilizację całej grupy dochodów z nieznaczną tendencją rosnącą, tak aby w roku 2028 osiągnąć wysokość 26,9 mln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Style w:val="Hyperlink"/>
          <w:rFonts w:ascii="Times New Roman" w:eastAsia="Times New Roman" w:hAnsi="Times New Roman" w:cs="Times New Roman"/>
          <w:b w:val="0"/>
          <w:i w:val="0"/>
          <w:caps w:val="0"/>
          <w:strike w:val="0"/>
          <w:color w:val="000000"/>
          <w:sz w:val="22"/>
          <w:u w:val="none" w:color="000000"/>
          <w:vertAlign w:val="baseline"/>
        </w:rPr>
        <w:t>pozostałe dochody bieżące, nie uwzględnione powyżej, obejmują:</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wpływy z tytułu opłat (plan na 2020 rok – 4,46 mln zł). Dochody te zaplanowano uwzględniając wykonania lat ubiegłych oraz przewidywane wykonanie roku 2019. Choć dochody z tego tytułu charakteryzują się od kilku już lat stosunkowo dużą stabilnością, pomiędzy rokiem 2019 a 2020 notuje się ich spadek (około 150 tys. zł), co związane jest, w głównej mierze, z innym podziałem środków z opłat i kar za gospodarcze korzystanie ze środowiska a także brakiem konieczności wymiany tablic rejestracyjnych przy zakupie używanego samochodu. Realizacja pozostałych elementów tego tytułu w przedmiocie opłat administracyjnych za wydanie dokumentów komunikacyjnych, za zajęcie pasa jezdni, wpływów z opłat za koncesje i licencje, opłat za trwały zarząd i użytkowanie wieczyste nieruchomości, opłat z tytułu zwrotu kosztów sądowych kształtuje się podobnie jak w latach ubiegłych. Tym też, oprócz informacji z wydziałów merytorycznych, kierowano się prognozując lata przyszłe. Uwzględniono więc coroczne, bardzo nieznaczne, wzrosty tego tytułu a jego wartość na koniec okresu prognozy zaplanowano na poziomie 4,6 mln zł;</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wpływy z usług (między innymi: od pensjonariuszy w DPS-ach, rozliczenia z tytułu pobytu dzieci w pieczy zastępczej, faktury za media i usługi geodezyjne), wpływy z najmu składników majątkowych, odsetki od nieterminowych wpłat oraz od środków zgromadzonych na rachunkach bankowych, 5% i 25% dochodów przynależnych powiatowi z tytułu realizacji zadań z zakresu administracji rządowej, zwroty środków z rozliczeń z lat ubiegłych oraz pozostałe nieznaczące wartościowo tytuły. Wielkość tych dochodów skalkulowano w oparciu o wykonanie roku bieżącego (skorygowane o uzyskane w roku obecnym znaczące wartościowo, acz incydentalne tytuły) oraz o informacje uzyskane z wydziałów merytorycznych w przedmiocie opłat za media, najmy, odpłatności od pensjonariuszy w DPS-ach. Dla roku 2020 stanowi to wielkość 14,9 mln zł. Rok 2021 przynosi niewielką ujemną korektę (nieco ponad 200 tys. zł) uwzględniającą ewentualne zmiany w prawie geodezyjnym czy zmniejszenie udziałów Powiatu w dochodach skarbu państwa w związku z przekształceniem prawa użytkowania wieczystego we własność. Od roku 2022 do końca prognozy dochody kształtują się na podobnym poziomie z tendencją rosnącą. I choć wzrosty w kolejnych latach nie są spektakularne to jednak systematyczne, a wartość omawianych wpływów założono w 2028 roku na poziomie 15,1 mln zł.</w:t>
      </w:r>
    </w:p>
    <w:p w:rsidR="00A77B3E">
      <w:pPr>
        <w:keepNext w:val="0"/>
        <w:keepLines w:val="0"/>
        <w:spacing w:before="120" w:after="120" w:line="240" w:lineRule="auto"/>
        <w:ind w:left="624"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odniesieniu do tytułów majątkowych ich główne składowe przedstawiają się następująco:</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dochody ze sprzedaży majątku – zaplanowano w oparciu o nieznacznie skorygowane informacje uzyskane z Wydziału Gospodarki Nieruchomościami (w aspekcie sprzedaży nieruchomości) oraz od pozostałych wydziałów i jednostek organizacyjnych (w aspekcie sprzedaży ruchomych składników majątkowych). Realizacja tego tytułu na przestrzeni ostatnich lat charakteryzuje się dużą losowością i przypadkowością – nie wykazując żadnego, wyraźnego trendu. Trwające obecnie prace nad podniesieniem atrakcyjności niektórych nieruchomości, dają pewne podstawy do twierdzenia, iż część z nich może zostać sprzedana w roku 2020 i w latach następnych. Ponieważ jednak ilość potencjalnie atrakcyjnych nieruchomości jest coraz mniejsza planowane dochody z tego tytułu od roku 2021 również wykazują tendencję malejącą. Zatem wartość planu w roku 2020 wynosi 1,1 mln zł a w każdym kolejnym roku jest coraz niższa aż do osiągnięcia poziomu 0,4 mln zł w latach 2026-2028;</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dochody z tytułu dotacji oraz środków przeznaczonych na inwestycje – założono w oparciu o podpisane lub planowane do podpisania umowy dotacyjne na zadania inwestycyjne. W roku 2020 wyróżnić można zatem środki z gmin, nadleśnictw oraz Funduszu Dróg Samorządowych na poprawę infrastruktury transportowej, z funduszy strukturalnych na inwestycje w infrastrukturze oświatowej i pomocy społecznej, z budżetu państwa na potrzeby utworzenia bloku operacyjnego w WSP S.A., czy też z Narodowego Funduszu Ochrony Środowiska i Gospodarki Wodnej na zadania związane z ochroną środowiska. Łącznie w przyszłym roku zaplanowano dochody w wysokości 21,6 mln zł. Tak znacząca kwota jest wynikiem kumulacji realizacji prac w ramach kilku ważnych przedsięwzięć inwestycyjnych. W kolejnych latach dochody z dotacji inwestycyjnych nie są już tak wysokie. Ich wielkości skalkulowano w oparciu o realizację tego tytułu na przestrzeni ostatnich kilku lat. Wzięto ponadto pod uwagę wykorzystanie szans, które mogą stworzyć aplikacje o środki zewnętrzne. Przyjęto tu poziomy dofinansowania po 1,5-1,9 mln zł z czterech źródeł, a mianowicie: z budżetu państwa, z funduszy celowych, z gmin oraz ze środków strukturalnych, co prognozuje łącznie około 7-8 mln zł rocznie.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Wahania w grupie dochodów ogółem, szczególnie zaś w okresie 2020-2022, determinowane są przeważnie zmianami związanymi z obszarem majątkowym. Dotyczy to zarówno dotacji jak też sprzedaży majątku. Do roku 2022 dotacje wykazują tendencję malejącą w związku z zakończeniem zadań współfinansowanych środkami zewnętrznymi. Od roku 2023 majątkowe dochody dotacyjne określone zostały szacunkowo w wysokościach porównywalnych dla całego dalszego okresu prognozy. Od tego momentu za wzrost dochodów ogółem odpowiedzialne są głównie pozycje dochodów bieżących (udziały w podatkach, subwencje, opłaty administracyjne, dotacje na zadania nieinwestycyjne). I pomimo faktu, iż poziomy tychże dochodów kształtują się pomiędzy wartością 169,8–176,4 mln zł, to jednak ich prognozowanie jest znacznie łatwiejsze w porównaniu z tytułami majątkowymi, bowiem obszar bieżący układa się zawsze w widoczne tendencje. Z kolei przy prognozowaniu dochodów majątkowych starano się nie opierać budżetów w poszczególnych latach o niepewne i często incydentalne dochody np. o dochody ze sprzedaży majątku. Planowane dochody z tytułu sprzedaży składników majątkowych kształtują się na poziomie 1,1 mln zł w roku 2020 z tendencją malejącą do 0,4 mln zł w roku 2028.</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Wydatki budżetowe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Wydatki budżetowe na rok 2020 wyliczono na kwotę 202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262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769 zł, w tym:</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wydatki bieżące – 161 841 321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wydatki majątkowe – 40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421 448 zł.</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Na wielkość środków przeznaczonych na wydatki budżetowe w największym stopniu wpływają prognozowane dochody, uzupełnione (powiększone) przychodami – w roku 2020 tylko z wolnych środków pozostających na rachunku budżetu z rozliczenia działalności kredytobiorczej z lat ubiegłych, pomniejszone o wartość rozchodów – w praktyce gospodarczej Powiatu w całym okresie prognozy z tytułu spłaty pożyczki i wykupu obligacji komunalnych. Kształtowanie się wydatków ogółem w poszczególnych latach prognozy a także różnice pomiędzy planowanymi kwotami w poszczególnych latach skorelowane są ze stroną dochodową budżetu. Wydatki bieżące w latach 2020-2028 wykazują tendencję rosnącą. Najogólniej rzecz ujmując przyczyną jest, i będzie również w przyszłości, permanentny wzrost kosztów prowadzenia zadań. W wielu przypadkach zupełnie niezależny od działań Zarządu. W przypadku wynagrodzeń trzeba mieć na uwadze ustawowe podnoszenie płacy minimalnej, a w przypadku rzeczowych kosztów stałych wzrosty opłat za media, zakup materiałów oraz zakup drobnych, codziennych usług materialnych i niematerialnych. Wydatki majątkowe w latach 2020-2022 wykazują tendencję malejącą, co oczywiście powiązane jest ze stroną dochodową. Swoistego rodzaju pik inwestycyjny stanowi poziom wydatków w roku 2020, co po części wynika z kumulacji planowanych nakładów. Warto w tym miejscu podkreślić, iż cześć z przyszłorocznych zadań inwestycyjnych ma już zapewnione finansowanie, dla części jednak Powiat dopiero aplikuje o środki. W przypadku negatywnych rozstrzygnięć korekty planu nastąpią już w takcie wykonywania budżetu w 2020 roku. Od roku 2023 poziom wydatków majątkowych, wyraźnie już niższy niż przykładowo w latach 2020-2021, podnosi się jednakże w następnych latach systematycznie w sposób zauważalny.</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Łączna wartość planu wydatków na rok 2020 jest wyższa o 21,89 mln zł od planu roku 2019, według stanu na koniec października. W roku 2019 plan wydatków bieżących wynosi 159,71 mln zł, zaś plan na rok 2020 stanowi 161,84 mln zł. Jeśli chodzi o wydatki majątkowe w planie roku 2019 mamy 20,66 mln zł, zaś na rok 2020 przewiduje się 40,42 mln zł. Ponad połowa środków przeznaczonych na wydatki majątkowe pochodzić ma z dofinansowania zewnętrznego. Działania w tym segmencie nastawione są przede wszystkim na poprawę infrastruktury drogowej, ochronę zdrowia i pomoc społeczną, czy też na oświatę i edukacyjną opiekę wychowawczą. Jeśli chodzi o wydatki bieżące to w roku 2020, w stosunku do roku 2019 wg stanu na koniec października, notujemy: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wzrost wydatków na wynagrodzenia i pochodne;</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zmniejszenie wydatków związanych z bieżącym utrzymaniem infrastruktury;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wzrost wydatków przekazywanych w formie dotacji dla innych podmiotów;</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utrzymanie na podobnym poziomie kosztów obsługi zadłużenia oraz środków przekazywanych na świadczenia na rzecz osób fizycznych (np. rodziny zastępcze, stypendia, diety radnych);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Style w:val="Hyperlink"/>
          <w:rFonts w:ascii="Times New Roman" w:eastAsia="Times New Roman" w:hAnsi="Times New Roman" w:cs="Times New Roman"/>
          <w:b w:val="0"/>
          <w:i w:val="0"/>
          <w:caps w:val="0"/>
          <w:strike w:val="0"/>
          <w:color w:val="000000"/>
          <w:sz w:val="22"/>
          <w:u w:val="none" w:color="000000"/>
          <w:vertAlign w:val="baseline"/>
        </w:rPr>
        <w:t>zmniejszenie wydatków na programy realizowane przy współudziale środków unijnych.</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grupie wydatków:</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wynagrodzenia i składki od nich naliczane skalkulowano na rok 2020 w oparciu o skorygowane informacje przedstawione przez służby kadrowe Starostwa i powiatowych jednostek organizacyjnych. Wartości dla roku 2020 są znacząco wyższe niż choćby wartość planu roku obecnego wg stanu na koniec października 2019. W latach następnych planuje się dalsze wzrosty wynikające z podwyżek płacy minimalnej, a także spodziewanej presji płacowej ze strony pracowników oraz organizacji ich zrzeszających. Dodatkowo od roku 2021 obowiązywać będą w samorządach pracownicze plany kapitałowe, co nie pozostanie bez wpływu na koszty wynagrodzeń. Pomimo wysokiego zaangażowania środków istnieje pewne ryzyko, iż zaplanowane wartości na wynagrodzenia mogą okazać się niewystarczające, szczególnie w odniesieniu do oświaty i edukacyjnej opieki wychowawczej. Pod koniec przyszłego roku może zaistnieć konieczność zwiększenia planu na tym odcinku;</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wydatki z tytułu poręczeń i gwarancji –  odkąd w roku 2018 wygasło poręczenie udzielone na rzecz Wielospecjalistycznego Szpitala Powiatowego S.A. w Tarnowskich Górach na modernizację cieplną budynków Powiat nie udzielił oraz nie planuje udzielić poręczeń i gwarancji;</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wartości w wierszu obsługa długu wynikają z ustalonego przez pożyczkodawców oprocentowania oraz oprocentowania obligacji komunalnych. Uwzględniono także wydatki od możliwego do wykorzystania limitu kredytu w rachunku bieżącym. Kwota planu na przyszły rok jest porównywalna do planu na koniec października 2019 roku. Przy prognozowaniu tego tytułu kierowano się zasadą ostrożności co do kształtowania się stóp procentowych w przyszłości. Należy mieć bowiem na uwadze, że od kilku już lat kształtują się one na bardzo niskim poziomie;</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wysokość dochodów oraz wydatków na projekty i programy unijne ujęta w sekcji nr 9 pod nazwą „Finansowanie programów, projektów lub zadań realizowanych z udziałem środków, o których mowa w art. 5 ust.1 pkt 2 i pkt 3 ustawy o finansach publicznych” załącznika nr 1 została określona na podstawie umów już podpisanych, ale także umów zaplanowanych do zawarcia. Dla tych zadań procedury naboru są w trakcie, bądź będą przeprowadzane w roku 2020 i w dwóch następnych latach. Informacje te są zatem przedstawione do roku 2022, gdyż na moment sporządzania niniejszych objaśnień nie posiadamy wiedzy aby konkretne projekty unijne były realizowane w latach późniejszych. Ma to także odzwierciedlenie w załączniku nr 2 „Wykaz przedsięwzięć do WPF” w punkcie 1.1 gdzie limity wydatków zaplanowano do końca 2022 roku. Przy określaniu kwot wydatków wzięto pod uwagę także wkład własny niezbędny do realizacji zadań;</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Style w:val="Hyperlink"/>
          <w:rFonts w:ascii="Times New Roman" w:eastAsia="Times New Roman" w:hAnsi="Times New Roman" w:cs="Times New Roman"/>
          <w:b w:val="0"/>
          <w:i w:val="0"/>
          <w:caps w:val="0"/>
          <w:strike w:val="0"/>
          <w:color w:val="000000"/>
          <w:sz w:val="22"/>
          <w:u w:val="none" w:color="000000"/>
          <w:vertAlign w:val="baseline"/>
        </w:rPr>
        <w:t>wydatki objęte limitem art. 226 ust. 3 są zgodne z wartościami wykazanymi w załączniku pod nazwą „Wykaz przedsięwzięć do WPF”. Wartości wykazane dotyczą, zarówno umów już podpisanych, jak i planowanych do podpisania;</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Style w:val="Hyperlink"/>
          <w:rFonts w:ascii="Times New Roman" w:eastAsia="Times New Roman" w:hAnsi="Times New Roman" w:cs="Times New Roman"/>
          <w:b w:val="0"/>
          <w:i w:val="0"/>
          <w:caps w:val="0"/>
          <w:strike w:val="0"/>
          <w:color w:val="000000"/>
          <w:sz w:val="22"/>
          <w:u w:val="none" w:color="000000"/>
          <w:vertAlign w:val="baseline"/>
        </w:rPr>
        <w:t>w sekcji 10.7 pod nazwą „Wydatki zmniejszające dług” ujęto kwoty wynikające z podpisanej umowy leasingu samochodu osobowego na potrzeby Starostwa Powiatowego. Umowa, która została zawarta w drugiej połowie 2019 roku obowiązywać będzie do roku 2023. Comiesięcznie z tego tytułu angażowane są środki w wysokości nieco ponad 1</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600 zł.</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Przychody i rozchody budżetu</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Planowane przychody dotyczą tylko roku 2020. Są to wolne środki uzyskane z rozliczenia działalności kredytobiorczej budżetu w latach ubiegłych w kwocie 9</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700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 Kwota przychodów z wolnych środków na rok 2020 wyliczona została w oparciu o wykonanie podstawowych kategorii w budżecie na koniec III kwartału 2019 roku a także przewidywania co do kształtowania się podstawowych kategorii budżetu na koniec roku 2019.</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wierszu rozchody ogółem ujęto spłatę zaciągniętej pożyczki inwestycyjnej oraz wykup wyemitowanych obligacji komunalnych w wysokościach określonych w odnośnych harmonogramach spłat. Niższa wartość rozchodów w roku 2020, w stosunku do lat następnych, wynika z wykupu w roku 2019 dwóch transz obligacji wyemitowanych w roku 2015 w ramach programu postępowania naprawczego. W roku 2020 spłata rozchodów będzie dokonywana z przychodów z wolnych środków. Począwszy od roku 2021 wygenerowana nadwyżka budżetowa, a więc różnica pomiędzy dochodami a wydatkami ogółem, przeznaczana będzie w całości na spłatę zobowiązań dłużnych.</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roku 2020 rozchody (kwota 404</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 obejmują następujące tytuły: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spłata rat pożyczki inwestycyjnej na realizację odwodnienia drogi Kalety-Miotek zaciągniętej w WFOŚiGW w Katowicach w dwóch transzach w latach 2016-2017 – kwota 154</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wykup obligacji komunalnych wyemitowanych w roku 2019 celem spłaty wcześniej zaciągniętych zobowiązań dłużnych oraz realizacji inwestycji – kwota 250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Prognoza kwoty długu i spłat zobowiązań</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Na planowaną łączną kwotę długu na koniec 2020 roku (17</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763</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752 zł) składają się następujące pozycje:</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obligacje komunalne wyemitowane w roku 2015. Pozostała do wykupu kwota to 13</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155</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zaciągnięta w dwóch transzach pożyczka inwestycyjna w WFOŚiGW w Katowicach na realizację budowy odwodnienia drogi powiatowej 3248S Kalety – Miotek. Pozostała, planowana do spłaty kwota to 307</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099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obligacje komunalne wyemitowane w roku 2019. Pozostała do wykupu kwota to 4</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250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leasing samochodu osobowego na potrzeby Starostwa Powiatowego. Pozostała, planowana do uregulowania kwota to 51</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653 zł.</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Integralną, i jedną z najważniejszych, składowych każdej wieloletniej prognozy finansowej stanowi wyliczenie dwóch podstawowych, ustawowych wskaźników, które decydują o możliwościach uchwalenia, zarówno prognozy, jak również budżetu na rok następny. Chodzi tu mianowicie o wskaźniki określone w art. 242 i 243 ustawy o finansach publicznych pokazane w sekcjach 7 i 8 załącznika nr 1.</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Relacja z art. 242 uofp, stanowiąca różnicę pomiędzy dochodami a wydatkami bieżącymi, zawsze przyjmuje wartości dodatnie, co oznacza jej spełnienie w każdym roku objętym prognozą. Różnice te są na tyle wysokie, że powodują, iż budżet posiada rezerwę na wypadek wystąpienia nieprzewidzianych okoliczności w postaci np. przeznaczenia wydatków majątkowych na realizację wydatków bieżących czy też dodatkowego finansowania wydatków bieżących przychodami. Podobnie dla całego okresu prognozy spełniona jest też relacja z art. 243 uofp określająca indywidualny wskaźnik zadłużenia, przyjmując do obliczeń zarówno plan na koniec III kwartału roku 2019, jak też przewidywane wykonanie tegoż roku. Planowany wskaźnik długu jest niższy od wskaźnika dopuszczalnej spłaty. Ważne w kontekście uzyskania pożądanych relacji jest przeznaczanie części dochodów bieżących na realizację zadań inwestycyjnych a także konsolidacja zadłużenia, która miała miejsce w roku 2015.</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 xml:space="preserve">Wykaz przedsięwzięć realizowanych w latach 2020-2023 </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Wykaz przedsięwzięć, stanowiący załącznik nr 2 do uchwały w sprawie Wieloletniej Prognozy Finansowej Powiatu Tarnogórskiego, sporządzono do roku 2023, ponieważ do tego roku określono limity wydatków dla przedsięwzięcia z najdłuższym horyzontem czasowym – to jest wspominanego powyżej zadania związanego z leasingiem samochodu. Wykaz obejmuje przedsięwzięcia, dla których umowy zostały już podpisane, oraz te, dla których Powiat planuje aplikować o środki.</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Nakłady na wszystkie przedsięwzięcia ujęte w wykazie obejmują wydatki łączne finansowane ze źródeł opisanych w zawartych umowach (środki pomocowe w postaci środków strukturalnych i dotacji z budżetu państwa, ewentualnie dochody własne z budżetu powiatowego traktowane jako udział). Niektóre przedsięwzięcia kończące się w roku 2020 są kontynuacją zadań dwu a nawet trzyletnich. Umieszczono je w wykazie przedsięwzięć oraz wieloletniej prognozie ze względu na zachowanie ciągłości w procedurach budżetowania.</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wierszu 1.1 poświęconemu projektom i zadaniom związanym z programami realizowanymi z udziałem środków pochodzących z budżetu Unii Europejskiej, a także z innych źródeł zagranicznych nie podlegających zwrotowi, po stronie wydatków bieżących uwzględniono zadania wieloletnie realizowane w oświacie i pomocy społecznej. Podmiotami realizującymi są Starostwo Powiatowe, jednostki oświatowe oraz Powiatowe Centrum Pomocy Rodzinie. Ilościowo dominują tu projekty o łącznej wartości poniżej 1,0 mln zł związane często z odbywaniem praktyk zagranicznych w krajach wymiany a także rozwijaniem kompetencji poprzez dydaktyczne zajęcia wyrównawcze oparte na metodzie eksperymentu. Dwa projekty „miękkie” tj. „Powiatowa Akademia Sukcesu Ucznia Szkoły Zawodowej” oraz „Powiatowe Centrum Usług Społecznych” związane są z zadaniami infrastrukturalnymi w ramach Zintegrowanych Inwestycji Terytorialnych. Na uwagę zasługuje ponadto program, dla którego Powiat planuje dopiero aplikować o środki pn. „Pomoc, Wsparcie, Samodzielność – rozwój usług społecznych i mieszkalnictwa chronionego w Powiecie Tarnogórskim” obejmujący, zarówno wydatki bieżące, jak też majątkowe związane z adaptacją pomieszczeń na potrzeby utworzenia mieszkań chronionych.</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roku 2019 zakończona została realizacja zadań inwestycyjnych w ramach Zintegrowanych Inwestycji Terytorialnych. Uzyskane środki pozytywnie wpłynęły na rozwój infrastruktury, przede wszystkim w oświacie i administracji. W obecnym momencie nie ma już programów dających niemalże stuprocentową gwarancję uzyskania środków dotacyjnych. Powiat przekonał się o tym choćby na przykładzie termomodernizacji Domu Pomocy Społecznej „Przyjaźń” gdzie nie otrzymano dofinansowania, a podstawowe prace, w bardzo okrojonej wersji, należało wykonać ze środków własnych. Nadal jednak planuje się aplikować o środki celem wykonania trzech przedsięwzięć w latach 2020-2021. Zestawienie zaangażowania środków własnych oraz planowanych do pozyskania z zewnątrz na zadania inwestycyjne prezentuje poniższa tabela nr 1.</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2"/>
          <w:u w:val="none" w:color="000000"/>
          <w:vertAlign w:val="baseline"/>
        </w:rPr>
        <w:t>Tabela nr 1</w:t>
      </w:r>
      <w:r>
        <w:rPr>
          <w:rStyle w:val="Hyperlink"/>
          <w:rFonts w:ascii="Times New Roman" w:eastAsia="Times New Roman" w:hAnsi="Times New Roman" w:cs="Times New Roman"/>
          <w:b w:val="0"/>
          <w:i w:val="0"/>
          <w:caps w:val="0"/>
          <w:strike w:val="0"/>
          <w:color w:val="000000"/>
          <w:sz w:val="22"/>
          <w:u w:val="none" w:color="000000"/>
          <w:vertAlign w:val="baseline"/>
        </w:rPr>
        <w:t xml:space="preserve"> Zestawienie zaangażowania środków własnych oraz planowanych do pozyskania z zewnątrz na wieloletnie zadania inwestycyjne realizowane z udziałem środków pochodzących z budżetu Unii Europejskiej a także innych źródeł zagranicznych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306"/>
        <w:gridCol w:w="2269"/>
        <w:gridCol w:w="1735"/>
        <w:gridCol w:w="19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Nazwa programu</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Łączne nakłady</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Rok 2020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Rok 2021</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1. Pomoc, Wsparcie, Samodzielność – rozwój usług społecznych i mieszkalnictwa chronionego w Powiecie Tarnogórskim</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263 000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26 000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237 000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środki zewnętrzne</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263 000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26 000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237 000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wkład własny</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2.Remont i wyposażenie laboratoriów w Zespole Szkół Chemiczno-Medycznych i Ogólnokształcących w Tarnowskich Górach</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1 560 000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780 000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750 000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środki zewnętrzne</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1 195 559</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558 559</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637 000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wkład własny</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364 441</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221 441</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113 000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 xml:space="preserve">3.Termomodernizacja budynku szkoły Zespołu Szkół Technicznych i Ogólnokształcących w Tarnowskich Górach, ul. Sienkiewicza 23  </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3 331 800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3 299 820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środki zewnętrzne</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2 527 668</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2 527 668</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wkład własny</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804 132</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772 152</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bl>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Należy w tym miejscu wyjaśnić, iż dla inwestycji wymienionych w punktach 2 i 3 Tabeli nr 1 pełny zakres robót obejmuje koszty sfinansowane planowaną dotacją (ostatnia cyfra paragrafu „7”), wkład własny kwalifikowany (ostatnia cyfra paragrafu „9”), jak też wkład własny niekwalifikowany (ostatnia cyfra paragrafu zgodnie z wytycznymi instytucji wdrażającej „0”). Celem zachowania spójności danych oraz przejrzystości i czytelności sporządzanego materiału całość kosztów pokazano w wierszu 1.1 „Wykazu przedsięwzięć do WPF” ukazującego wydatki na programy współfinansowane środkami unijnymi.</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Powiat Tarnogórski w okresie objętym prognozą nie przewiduje realizacji projektów lub zadań związanych z umowami partnerstwa publiczno-prywatnego (wiersz 1.2).</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Pozostałe programy, projekty lub zadania określone w wierszu 1.3 obejmują segment bieżący i majątkowy. Realizowane zadania dotyczą wielu obszarów funkcjonowania Powiatu, w tym infrastruktury drogowej, administracji, pomocy społecznej, oświaty oraz ochrony zdrowia. To właśnie na odcinku pozyskiwania dotacyjnych środków krajowych rysują się obecnie lepsze perspektywy. Możliwość taką daje współpraca z gminami oraz innymi podmiotami z terenu Powiatu (nadleśnictwa). Nowo utworzony Fundusz Dróg Samorządowych, a także istniejące od dawna fundusze, takie jak narodowy lub wojewódzkie fundusze ochrony środowiska i gospodarki wodnej, uruchamiają programy pozwalające aplikować o środki. Można także zwracać się o środki z budżetu państwa. Z wszystkich tych opcji Powiat korzystał bądź planuje skorzystać w roku 2020 i w latach przyszłych. Poniższa tabela nr 2 ukazuje planowane do pozyskania środki współfinansujące pozostałe wieloletnie zadania inwestycyjne.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2"/>
          <w:u w:val="none" w:color="000000"/>
          <w:vertAlign w:val="baseline"/>
        </w:rPr>
        <w:t>Tabela nr 2</w:t>
      </w:r>
      <w:r>
        <w:rPr>
          <w:rStyle w:val="Hyperlink"/>
          <w:rFonts w:ascii="Times New Roman" w:eastAsia="Times New Roman" w:hAnsi="Times New Roman" w:cs="Times New Roman"/>
          <w:b w:val="0"/>
          <w:i w:val="0"/>
          <w:caps w:val="0"/>
          <w:strike w:val="0"/>
          <w:color w:val="000000"/>
          <w:sz w:val="22"/>
          <w:u w:val="none" w:color="000000"/>
          <w:vertAlign w:val="baseline"/>
        </w:rPr>
        <w:t xml:space="preserve"> Zestawienie zaangażowania środków własnych oraz planowanych do pozyskania z zewnątrz na pozostałe wieloletnie zadania inwestycyjne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458"/>
        <w:gridCol w:w="2026"/>
        <w:gridCol w:w="1664"/>
        <w:gridCol w:w="1664"/>
        <w:gridCol w:w="14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Nazwa programu</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Łączne nakłady</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Rok 2020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Rok 2021</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Rok 2022</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1.Adaptacja byłej kuchni w budynku WSP S.A. na potrzeby bloku operacyjnego i centralnej sterylizatorni</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14 889 174</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14 649 324</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6 319 587</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6 319 587</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8 569 587</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8 329 737</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2.Przebudowa ulicy Powstańców Śląskich w Tarnowskich Górach</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7 158 600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6 880 000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5 351 000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5 160 000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1 807 600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1 720 000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 xml:space="preserve">3.Rozbudowa drogi powiatowej 3200S na odcinku od DK 78 do ulicy Mickiewicza w m. Ossy Gmina Ożarowice </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8 588 750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1 749 000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5 630 090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874 500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2 958 660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874 500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4.Budowa ścieżki rowerowej na odcinku Laryszów-Miedary (droga 3218S) w Zbrosławicach</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1 977 672</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1 257 672</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1 453 254</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943 254</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524 418</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314 418</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5.Termomodernizacja budynku Domu Pomocy Społecznej w Łubiu</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3 765 000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1 040 000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1 750 000</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910 000</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2 970 000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840 000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1 400 000</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730 000</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795 000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200 000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350 000</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180 000</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6.Rozbudowa DP3210S i DP3207S ul. Główna w Zendku</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5 802 900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5 520 000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b/>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4 481 450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4 340 000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1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1 321 450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1 180 000</w:t>
            </w:r>
          </w:p>
        </w:tc>
        <w:tc>
          <w:tcPr>
            <w:tcW w:w="15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127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rPr>
                <w:sz w:val="20"/>
              </w:rPr>
              <w:t>-</w:t>
            </w:r>
          </w:p>
        </w:tc>
      </w:tr>
    </w:tbl>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Podsumowanie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Celem wieloletniej prognozy finansowej, sporządzonej realistycznie i zgodnie ze stanem faktycznym, jest dostarczanie informacji o sytuacji budżetu na przestrzeni kilku najbliższych lat oraz, na tej podstawie, wspomaganie procesu zarządzania finansami jednostki. Spełnienie w całym okresie prognozy relacji określonych w art. 242 i 243 ustawy o finansach publicznych pozwala na uchwalenie przyszłorocznego budżetu oraz daje pewne poczucie bezpieczeństwa jeżeli chodzi o konstruowanie i uchwalanie przyszłych budżetów. Wprowadzone obecnie uregulowania dotyczące formuł wyliczania wskaźników spłaty zobowiązań, w realiach budżetowych Powiatu Tarnogórskiego, wyraźnie poprawiły relacje zadłużeniowe. Mówimy tutaj szczególnie o poziomach wskaźników dopuszczalnych limitów spłaty. Sytuacja powyższa jest nader optymistyczna i krzepiąca, przede wszystkim w kontekście możliwości oczekiwania budżetów bardziej rozwojowych – proinwestycyjnych. Wynika to, w głównej mierze, z nieco większej swobody w prowadzeniu gospodarki finansowej mocniej opartej o finansowanie zewnętrzne. Z drugiej jednakże strony nie można zapominać o całokształcie budżetu. Należy ponadto mieć na względzie dynamicznie zmieniające się otoczenie gospodarcze i prawne. Tylko bowiem ciągła analiza i właściwa interpretacja bieżących zdarzeń może dać sygnał do odpowiednio wczesnej reakcji w celu uniknięcia ewentualnych problemów finansowych w przyszłości.</w:t>
      </w:r>
    </w:p>
    <w:sectPr>
      <w:footerReference w:type="default" r:id="rId8"/>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8E9A1C36-09CE-4507-9963-91FDA2600B05.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8E9A1C36-09CE-4507-9963-91FDA2600B05.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8E9A1C36-09CE-4507-9963-91FDA2600B05.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8E9A1C36-09CE-4507-9963-91FDA2600B05.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2018r. poz. 2245</w:t>
      </w:r>
    </w:p>
  </w:footnote>
  <w:footnote w:id="1">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2019r. poz. 1815</w:t>
      </w:r>
    </w:p>
  </w:footnote>
  <w:footnote w:id="2">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2019r. poz. 1903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Powiatu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XV/156/2019 z dnia 17 grudnia 2019 r.</dc:title>
  <dc:subject>w sprawie Wieloletniej Prognozy Finansowej Powiatu Tarnogórskiego na lata 2020-2028</dc:subject>
  <dc:creator>nr367</dc:creator>
  <cp:lastModifiedBy>nr367</cp:lastModifiedBy>
  <cp:revision>1</cp:revision>
  <dcterms:created xsi:type="dcterms:W3CDTF">2019-12-18T10:31:48Z</dcterms:created>
  <dcterms:modified xsi:type="dcterms:W3CDTF">2019-12-18T10:31:48Z</dcterms:modified>
  <cp:category>Akt prawny</cp:category>
</cp:coreProperties>
</file>