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XII/122/2019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września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XII/122/2019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września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571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XII/122/2019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rezultatem zdarzeń gospodarczych mających miejsce w miesiącu wrześniu. Wpłynęły one na wartości podstawowych kategorii w roku bieżącym. Zmianom uległy również dane dotyczące lat przyszłych.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17.09.2019r.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181</w:t>
            </w:r>
            <w:r>
              <w:t> </w:t>
            </w:r>
            <w:r>
              <w:t>083</w:t>
            </w:r>
            <w:r>
              <w:t> </w:t>
            </w:r>
            <w:r>
              <w:t>584,77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060</w:t>
            </w:r>
            <w:r>
              <w:t> </w:t>
            </w:r>
            <w:r>
              <w:t>383,77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</w:t>
            </w:r>
            <w:r>
              <w:t> </w:t>
            </w:r>
            <w:r>
              <w:t>023</w:t>
            </w:r>
            <w:r>
              <w:t> </w:t>
            </w:r>
            <w:r>
              <w:t>201,00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187</w:t>
            </w:r>
            <w:r>
              <w:t> </w:t>
            </w:r>
            <w:r>
              <w:t>257</w:t>
            </w:r>
            <w:r>
              <w:t> </w:t>
            </w:r>
            <w:r>
              <w:t>469,77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874</w:t>
            </w:r>
            <w:r>
              <w:t> </w:t>
            </w:r>
            <w:r>
              <w:t>756,77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</w:t>
            </w:r>
            <w:r>
              <w:t> </w:t>
            </w:r>
            <w:r>
              <w:t>382</w:t>
            </w:r>
            <w:r>
              <w:t> </w:t>
            </w:r>
            <w:r>
              <w:t>713,00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</w:t>
            </w:r>
            <w:r>
              <w:t> </w:t>
            </w:r>
            <w:r>
              <w:t>173</w:t>
            </w:r>
            <w:r>
              <w:t> </w:t>
            </w:r>
            <w:r>
              <w:t>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-814</w:t>
            </w:r>
            <w:r>
              <w:t> </w:t>
            </w:r>
            <w:r>
              <w:t>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  <w:r>
              <w:t> </w:t>
            </w:r>
            <w:r>
              <w:t>359</w:t>
            </w:r>
            <w:r>
              <w:t> </w:t>
            </w:r>
            <w:r>
              <w:t>512,00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  <w:r>
              <w:t> </w:t>
            </w:r>
            <w:r>
              <w:t>327</w:t>
            </w:r>
            <w:r>
              <w:t> </w:t>
            </w:r>
            <w:r>
              <w:t>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968</w:t>
            </w:r>
            <w:r>
              <w:t> </w:t>
            </w:r>
            <w:r>
              <w:t>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-5</w:t>
            </w:r>
            <w:r>
              <w:t> </w:t>
            </w:r>
            <w:r>
              <w:t>359</w:t>
            </w:r>
            <w:r>
              <w:t> </w:t>
            </w:r>
            <w:r>
              <w:t>512,00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823</w:t>
            </w:r>
            <w:r>
              <w:t> </w:t>
            </w:r>
            <w:r>
              <w:t>588,00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605</w:t>
            </w:r>
            <w:r>
              <w:t> </w:t>
            </w:r>
            <w:r>
              <w:t>132,00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-218</w:t>
            </w:r>
            <w:r>
              <w:t> </w:t>
            </w:r>
            <w:r>
              <w:t>456,00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ujęcia w budżecie środków strukturalnych na realizację programu Erasmus+ „Praktyka zagraniczna-nowe możliwości, lepsze umiejętności” prowadzonego w Centrum Edukacji Ekonomiczno-Handlowej;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ujęcia w budżecie dotacji z Funduszu Wsparcia Państwowej Straży Pożarnej na zakup specjalistycznego pojazdu wraz z przyczepą transportową;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usunięcia z budżetu planowanej dotacji strukturalnej na realizację programu „Termomodernizacja Domu Pomocy Społecznej „Przyjaźń” w Tarnowskich Górach w związku z nieotrzymaniem dofinansowania;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zwiększeń w planach Starostwa Powiatowego oraz jednostek pomocy społecznej z tytułu ponadplanowo wygenerowanych dochodów. Dochody te to między innymi: odpłatności pensjonariuszy, środki ze sprzedaży składników majątkowych oraz odsetki od środków zgromadzonych na rachunkach bankowych.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grupie wydatków: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wynikały z korekty strony dochodowej budżetu;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miały charakter porządkujący związany z dostosowaniem planu do zachodzących, nieprzewidzianych zdarzeń gospodarczych. Ponadto część środków stanowiących wkład własny do nierealizowanego projektu termomodernizacji DPS „Przyjaźń” przeznaczona została na budowę palarni i wymianę stolarki okiennej w tej właśnie jednostce. W ramach planu wydatków szeroko rozumianej pomocy społecznej zabezpieczono środki na zakupy materiałów dla publicznych domów pomocy społecznej;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wynikały ze zmian w harmonogramach realizacji kilku zadań tj. związane były z przesunięciami realizacji zadań z roku obecnego na rok 2020 i lata przyszłe. W związku z powyższym w planie finansowym roku 2019 zmniejszeniu uległa również wartość zaangażowanych przychodów z wolnych środków.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rozchodów roku obecnego i w dalszych latach prognozy finansowej.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podstawowych kategorii budżetowych w następnych latach uwzględniają częściowo dane zaczerpnięte z przygotowywanego obecnie projektu budżetu i wieloletniej prognozy na rok 2020, a ponadto posiadaną wiedzę na temat planowanych do realizacji zadań i przedsięwzięć, zarówno bieżących, jak też majątkowych. Należy jednak podkreślić, iż wartości te nie są ostateczne, bowiem na moment sporządzenia niniejszych objaśnień, nie posiadamy jeszcze – chociażby informacji od Ministra Finansów odnośnie wysokości części subwencji ogólnej oraz udziału w podatku dochodowym od osób fizycznych a także od Wojewody o wysokości przyznanych dotacji celowych. Ponadto pewne zadania i parametry budżetowe są nadal kwestią prowadzonych na bieżąco uzgodnień.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spowodowały dla roku 2019 pewne pogorszenie wskaźnika z art. 242 ustawy o finansach publicznych, choć nadal jest on spełniony. Wynikało to z jednej strony z przeznaczenia dochodów ze sprzedaży majątku na wydatki bieżące w DPS Łubie, z drugiej zaś z przeniesień planu wydatków majątkowych na zakup oprogramowania finansowo-księgowego na wydatki bieżące w dps-ach. Jeżeli chodzi o przyszłe lata prognozy wskaźniki z art. 242 i 243 są również spełnione. Należy jednak podkreślić, iż uwzględnienie zaktualizowanych wartości wpływa na powyższe wskaźniki negatywnie. Niższa bowiem niż w dotychczas obowiązującej wersji wieloletniej prognozy jest wartość różnicy pomiędzy dochodami a wydatkami bieżącymi. Związane jest to w głównej mierze z relatywnie gorszymi relacjami pomiędzy rosnącymi kosztami bieżącego prowadzenia zadań a poziomem osiąganych dochodów bieżących.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dofinansowane środkami strukturalnymi pn. „Praktyka zagraniczna – nowe możliwości, lepsze umiejętności” przewidziane do realizacji przez Centrum Edukacji Ekonomiczno-Handlowej w Tarnowskich Górach w latach 2019-2021 w łącznej kwocie 324 543,00 zł. Celem projektu jest umożliwienie młodzieży zdobycia doświadczenia w zakresie praktyk panujących w krajach wymiany;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pn. „Budowa kotłowni olejowej z magazynem paliwa oraz instalacji zewnętrznej grzewczej, cwu i cyrkulacji w DPS Miedary” przewidziane do realizacji przez Wydział Inwestycji i Drogownictwa w latach 2019-2020 w łącznej kwocie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262,00 zł. Celem projektu jest przeniesienie źródła ciepła z budynku pałacu do nowego, wolnostojącego budynku kotłowni olejowej, ponadto modernizacja źródła ciepła a przez to obniżenie kosztów eksploatacji. Zadanie było pierwotnie planowane do realizacji w całości w roku 2019 jednak ze względu na przedłużające się procedury wyboru wykonawcy termin jego zakończenia określono na drugą połowę roku 2020;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związane z powierzeniem Miastu Radzionków zadania publicznego w zakresie letniego i zimowego utrzymania dróg powiatowych położonych w granicach administracyjnych Gminy Radzionków. Na realizację w latach 2019-2022 zadania zabezpieczono w Wydziale Inwestycji i Drogownictwa kwotę łącznie 370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zł. Bieżące letnie i zimowe utrzymanie dróg powiatowych na ma celu poprawę komfortu i bezpieczeństwa w ruchu drogowym;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usunięto z wykazu zadanie pn. „Termomodernizacja Domu Pomocy Społecznej „Przyjaźń” w Tarnowskich Górach” planowane do realizacji przez Wydział Inwestycji i Drogownictwa w latach 2014-2020 w łącznej kwocie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444 933,00 zł. Przedsięwzięcie to nie uzyskało dofinansowania ze środków strukturalnych;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harmonogramie zadania pn. „Przebudowa ulicy Powstańców Śląskich w Tarnowskich Górach” polegających na przesunięciu terminu realizacji na lata 2020-2021 a także zwiększeniu łącznych nakładów finansowych do kwoty 6 880 000,00 zł. Powyższe jest wynikiem przedłużających się procedur związanych z wydaniem zezwolenia na realizację inwestycji drogowej oraz aplikowaniem o środki w ramach przyszłorocznego dofinansowania z Funduszu Dróg Samorządowych;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harmonogramie zadania pn. „Adaptacja byłej kuchni w budynku WSP S.A. na potrzeby bloku operacyjnego i centralnej sterylizatorni”. Obecnie trwają na tym odcinku prace związane z przygotowaniem stosownej dokumentacji. Zasadnicze roboty budowlane winny się rozpocząć w przyszłym roku – stąd zmiany w limitach wydatków w latach 2019-2020. Ponadto Powiat nadal nie uzyskał informacji w sprawie ewentualnego dofinansowania zadania środkami z budżetu państwa. Całość zadania wyceniono na 12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174,00 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skorygowano limity wydatków dla zadania pn. „Leasing samochodu osobowego na potrzeby Starostwa Powiatowego” w związku z późniejszym niż zakładano zakupem składnika majątku oraz rozpoczęciem jego eksploatacji.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XII/122/2019 z dnia 24 września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2019-09-26T12:00:30Z</dcterms:created>
  <dcterms:modified xsi:type="dcterms:W3CDTF">2019-09-26T12:00:30Z</dcterms:modified>
  <cp:category>Akt prawny</cp:category>
</cp:coreProperties>
</file>