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XI/120/2019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XI/120/2019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września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XI/120/2019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644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XI/120/2019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 wieloletniej prognozie wynika ze zmian w budżecie dokonanych w miesiącach sierpień-wrzesień, które wpłynęły na kształtowanie się podstawowych parametrów w latach 2019-2022 a także wartości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27.08.2019r.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317</w:t>
            </w:r>
            <w:r>
              <w:t> </w:t>
            </w:r>
            <w:r>
              <w:t>488,79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181</w:t>
            </w:r>
            <w:r>
              <w:t> </w:t>
            </w:r>
            <w:r>
              <w:t>083</w:t>
            </w:r>
            <w:r>
              <w:t> </w:t>
            </w:r>
            <w:r>
              <w:t>584,77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766</w:t>
            </w:r>
            <w:r>
              <w:t> </w:t>
            </w:r>
            <w:r>
              <w:t>095,98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186</w:t>
            </w:r>
            <w:r>
              <w:t> </w:t>
            </w:r>
            <w:r>
              <w:t>491</w:t>
            </w:r>
            <w:r>
              <w:t> </w:t>
            </w:r>
            <w:r>
              <w:t>373,79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187</w:t>
            </w:r>
            <w:r>
              <w:t> </w:t>
            </w:r>
            <w:r>
              <w:t>257</w:t>
            </w:r>
            <w:r>
              <w:t> </w:t>
            </w:r>
            <w:r>
              <w:t>469,77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766</w:t>
            </w:r>
            <w:r>
              <w:t> </w:t>
            </w:r>
            <w:r>
              <w:t>095,98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173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173</w:t>
            </w:r>
            <w:r>
              <w:t> </w:t>
            </w:r>
            <w:r>
              <w:t>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327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327</w:t>
            </w:r>
            <w:r>
              <w:t> </w:t>
            </w:r>
            <w:r>
              <w:t>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691</w:t>
            </w:r>
            <w:r>
              <w:t> </w:t>
            </w:r>
            <w:r>
              <w:t>338,00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823</w:t>
            </w:r>
            <w:r>
              <w:t> </w:t>
            </w:r>
            <w:r>
              <w:t>588,00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132</w:t>
            </w:r>
            <w:r>
              <w:t> </w:t>
            </w:r>
            <w:r>
              <w:t>250,00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z gmin na dofinansowanie zadań remontowych na drogach powiatowych;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od Wojewody na zadania zlecone w straży pożarnej, orzekaniu o niepełnosprawności, nadzorze budowlanym, oświacie (na zakup podręczników i materiałów dydaktycznych) oraz pomocy społecznej (świadczenia dla posiadaczy Karty Polaka oraz na realizację programów „Dobry Start” i „Rodzina 500+”).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grupie wydatków powiązane były zasadniczo z korektami strony dochodowej budżetu. Pozostałe korekty, w samej tylko grupie wydatków, miały przede wszystkim charakter porządkujący związany z dostosowaniem planu do zachodzących, nieprzewidzianych zdarzeń gospodarczych. Trzeba tu jednak zwrócić uwagę na zabezpieczenie środków: stanowiących wkład własny dla zadań dofinansowanych z Funduszu Dróg Samorządowych oraz na przebudowę pomieszczeń na cele sanitarne w II Liceum Ogólnokształcącym.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przychodów i rozchodów roku obecnego.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chodzi o lata 2020-2022, w związku z planowanym aplikowaniem o środki z Narodowego Funduszu Ochrony Środowiska i Gospodarki Wodnej na realizację przedsięwzięcia pn. „Termomodernizacja budynku Domu Pomocy Społecznej w Łubiu”, zwiększono dochody i wydatki majątkowe w roku 2020 o kwotę 840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zł, w roku 2021 o kwotę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zł, zaś w roku 2022 o kwotę 730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000,00. zł. W powyższych latach latach nie było konieczności dokonywania przesunięć celem zabezpieczenia wkładu własnego dla omawianej inwestycji, bowiem przy tworzeniu wieloletniej prognozy założono w latach przyszłych pewną rezerwę środków na wypadek wzrostu wartości kosztorysowej zadań, czy też możliwości aplikowania o dodatkowe środki zewnętrzne.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 pewną poprawę wskaźnika z art. 242 ustawy o finansach publicznych w efekcie przesunięcia części wydatków bieżących na zadania majątkowe. Powyższe wpłynęło również na nieznaczną poprawę w kształtowaniu się relacji z art. 243 wspomnianej ustawy. Warto w tym miejscu wspomnieć, iż obie ustawowe relacje spełnione są w 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zaszła tylko jedna zmiana. Wprowadzono zadanie dofinansowane środkami z NFOŚiGW pn. „Termomodernizacja budynku Domu Pomocy Społecznej w Łubiu” realizowane przez Wydział Inwestycji i Drogownictwa w latach 2018-2022 w łącznej kwocie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765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zł. Celem projektu jest obniżenie kosztów eksploatacji budynku oraz poprawa warunków pobytu pensjonariuszy.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B50C5CD9-7D89-4D4D-8067-760159B358D7.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B50C5CD9-7D89-4D4D-8067-760159B358D7.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B50C5CD9-7D89-4D4D-8067-760159B358D7.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B50C5CD9-7D89-4D4D-8067-760159B358D7.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XI/120/2019 z dnia 17 września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2019-09-18T09:49:57Z</dcterms:created>
  <dcterms:modified xsi:type="dcterms:W3CDTF">2019-09-18T09:49:57Z</dcterms:modified>
  <cp:category>Akt prawny</cp:category>
</cp:coreProperties>
</file>