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LIV/428/2018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września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skargi złożonej przez panie I.Ś. oraz K.G. na Krzysztofa Łozińskiego członka Zarządu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skargą złożoną przez panie I.Ś. oraz K.G. na Krzysztofa Łozińskiego członka Zarządu Powiatu Tarnogórskiego, Rada Powiatu Tarnogórskiego uznaje skargę za bezzasadną. Uzasadnienie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skarżącym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Rada Powiatu Tarnogórskiego uchwałą nr LIII/419/2018 z dnia 28 sierpnia 2018 roku w sprawie uznania Rady Powiatu Tarnogórskiego za właściwą do rozpatrzenia skargi złożonej przez panie I.Ś. oraz K.G. na Krzysztofa Łozińskiego członka Zarządu Powiatu Tarnogórskiego</w:t>
      </w: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 xml:space="preserve">,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zleciła Komisji Rewizyjnej zbadanie zasadności skargi.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Komisja Rewizyjna na posiedzeniu w dniu 4 września 2018 roku zapoznała się ze sprawą.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Komisja stwierdziła, że co prawda ustalone roboty tylko częściowo zostały wykonane w terminie tj. do 30 czerwca br., gdyż realizacja remontu cząstkowego nawierzchni wraz z frezowaniem opóźniła się z powodu braku rozstrzygnięcia procedury przetargowej na wykonanie tego typu robót. Remont cząstkowy nawierzchni wraz z frezowaniem został wykonany w okresie od 8 do 14 sierpnia br. o czym skarżące zostały poinformowane.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Mając na uwadze powyższe Komisja Rewizyjna w głosowaniu: 6 głosów „za”, 0 głosów „przeciw”, 0 głosów „wstrzymujących się” uznała skargę za bezzasadną i wnosi o przyjęcie przedmiotowej uchwały.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7F113545-87AA-4CF3-B353-59440813CF86.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7F113545-87AA-4CF3-B353-59440813CF86.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149, poz. 650, poz. 1544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LIV/428/2018 z dnia 25 września 2018 r.</dc:title>
  <dc:subject>w sprawie rozpatrzenia skargi złożonej przez panie I.Ś. oraz K.G. na Krzysztofa Łozińskiego członka Zarządu Powiatu Tarnogórskiego</dc:subject>
  <dc:creator>nr367</dc:creator>
  <cp:lastModifiedBy>nr367</cp:lastModifiedBy>
  <cp:revision>1</cp:revision>
  <dcterms:created xsi:type="dcterms:W3CDTF">2018-09-26T13:06:44Z</dcterms:created>
  <dcterms:modified xsi:type="dcterms:W3CDTF">2018-09-26T13:06:44Z</dcterms:modified>
  <cp:category>Akt prawny</cp:category>
</cp:coreProperties>
</file>